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82BA7" w14:textId="77777777" w:rsidR="003F62BD" w:rsidRPr="00F56018" w:rsidRDefault="003F62BD" w:rsidP="00DF6D6D">
      <w:pPr>
        <w:pStyle w:val="Ttulo"/>
        <w:jc w:val="center"/>
        <w:rPr>
          <w:rFonts w:ascii="Century Gothic" w:hAnsi="Century Gothic"/>
          <w:sz w:val="40"/>
          <w:szCs w:val="40"/>
        </w:rPr>
      </w:pPr>
      <w:r w:rsidRPr="00F56018">
        <w:rPr>
          <w:rFonts w:ascii="Century Gothic" w:hAnsi="Century Gothic"/>
          <w:sz w:val="40"/>
          <w:szCs w:val="40"/>
        </w:rPr>
        <w:t>FAQ – DESCARTÁVEIS</w:t>
      </w:r>
    </w:p>
    <w:p w14:paraId="4AAF5CBD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Quais são os tipos de equipos da Samtronic e quais são as aplicações/terapias indicadas?</w:t>
      </w:r>
    </w:p>
    <w:p w14:paraId="4485ABE8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Cristal: indicados para os medicamentos que não tem sensibilidade à luz e não tem interação com PVC e DEHP. Terapias parenterais.</w:t>
      </w:r>
    </w:p>
    <w:p w14:paraId="5720B6AD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Fotoprotetor: Indicados para os medicamentos sensíveis à luz. Também são indicados para terapias parenterais.</w:t>
      </w:r>
    </w:p>
    <w:p w14:paraId="1D0CEB0F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Enteral: Indicados somente para infusões de nutrição enteral (dieta/água).</w:t>
      </w:r>
    </w:p>
    <w:p w14:paraId="13A25A9F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Livre de PVC e DEHP: Indicados para medicamentos que tenham interação direta com os componentes PVC e DEHP. Indicados para terapia parenteral.</w:t>
      </w:r>
    </w:p>
    <w:p w14:paraId="567B33C4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O que significa as diferentes cores dos descartáveis?</w:t>
      </w:r>
    </w:p>
    <w:p w14:paraId="294554C0" w14:textId="5796C2C6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Normalmente, a cor laranja</w:t>
      </w:r>
      <w:r w:rsidR="007B1755">
        <w:rPr>
          <w:rFonts w:ascii="Century Gothic" w:hAnsi="Century Gothic"/>
          <w:color w:val="002060"/>
        </w:rPr>
        <w:t>/âmbar</w:t>
      </w:r>
      <w:r w:rsidRPr="009E3D54">
        <w:rPr>
          <w:rFonts w:ascii="Century Gothic" w:hAnsi="Century Gothic"/>
          <w:color w:val="002060"/>
        </w:rPr>
        <w:t xml:space="preserve"> é para indicar que o descartável deverá ser utilizado para medicamentos sensíveis à luz. </w:t>
      </w:r>
    </w:p>
    <w:p w14:paraId="63D122FD" w14:textId="4FD6DE96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Roxo</w:t>
      </w:r>
      <w:r w:rsidR="007B1755">
        <w:rPr>
          <w:rFonts w:ascii="Century Gothic" w:hAnsi="Century Gothic"/>
          <w:color w:val="002060"/>
        </w:rPr>
        <w:t>/lilás</w:t>
      </w:r>
      <w:r w:rsidRPr="009E3D54">
        <w:rPr>
          <w:rFonts w:ascii="Century Gothic" w:hAnsi="Century Gothic"/>
          <w:color w:val="002060"/>
        </w:rPr>
        <w:t xml:space="preserve"> exclusivo para nutrição enteral</w:t>
      </w:r>
    </w:p>
    <w:p w14:paraId="2AC5AA4F" w14:textId="5437520F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Cristal para os demais medicamentos</w:t>
      </w:r>
      <w:r w:rsidR="007B1755">
        <w:rPr>
          <w:rFonts w:ascii="Century Gothic" w:hAnsi="Century Gothic"/>
          <w:color w:val="002060"/>
        </w:rPr>
        <w:t>/soluções</w:t>
      </w:r>
      <w:r w:rsidRPr="009E3D54">
        <w:rPr>
          <w:rFonts w:ascii="Century Gothic" w:hAnsi="Century Gothic"/>
          <w:color w:val="002060"/>
        </w:rPr>
        <w:t>.</w:t>
      </w:r>
    </w:p>
    <w:p w14:paraId="7C2363ED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Equipo fotoprotetor pode ser utilizado em qualquer bomba de infusão?</w:t>
      </w:r>
    </w:p>
    <w:p w14:paraId="208CB4A0" w14:textId="29E7B582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Sim. Exceto para equipamentos exclusivos para nutrição enteral (ST550T2 Plus Enteral</w:t>
      </w:r>
      <w:r w:rsidR="00B9479B">
        <w:rPr>
          <w:rFonts w:ascii="Century Gothic" w:hAnsi="Century Gothic"/>
          <w:color w:val="002060"/>
        </w:rPr>
        <w:t xml:space="preserve"> e icatu S Enteral</w:t>
      </w:r>
      <w:r w:rsidRPr="009E3D54">
        <w:rPr>
          <w:rFonts w:ascii="Century Gothic" w:hAnsi="Century Gothic"/>
          <w:color w:val="002060"/>
        </w:rPr>
        <w:t>).</w:t>
      </w:r>
    </w:p>
    <w:p w14:paraId="50FA10B3" w14:textId="74341E82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P</w:t>
      </w:r>
      <w:r w:rsidR="007B1755">
        <w:rPr>
          <w:rFonts w:ascii="Century Gothic" w:hAnsi="Century Gothic"/>
          <w:b/>
          <w:bCs/>
          <w:color w:val="002060"/>
        </w:rPr>
        <w:t>ara quê</w:t>
      </w:r>
      <w:r w:rsidRPr="009E3D54">
        <w:rPr>
          <w:rFonts w:ascii="Century Gothic" w:hAnsi="Century Gothic"/>
          <w:b/>
          <w:bCs/>
          <w:color w:val="002060"/>
        </w:rPr>
        <w:t xml:space="preserve"> é indicado o uso de descartáveis com injetor lateral?</w:t>
      </w:r>
    </w:p>
    <w:p w14:paraId="245F942C" w14:textId="1579757A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064F50">
        <w:rPr>
          <w:rFonts w:ascii="Century Gothic" w:hAnsi="Century Gothic"/>
          <w:color w:val="002060"/>
        </w:rPr>
        <w:t xml:space="preserve">Estes descartáveis </w:t>
      </w:r>
      <w:r w:rsidR="007B1755" w:rsidRPr="00064F50">
        <w:rPr>
          <w:rFonts w:ascii="Century Gothic" w:hAnsi="Century Gothic"/>
          <w:color w:val="002060"/>
        </w:rPr>
        <w:t xml:space="preserve">são </w:t>
      </w:r>
      <w:r w:rsidR="00DF6D6D" w:rsidRPr="00064F50">
        <w:rPr>
          <w:rFonts w:ascii="Century Gothic" w:hAnsi="Century Gothic"/>
          <w:color w:val="002060"/>
        </w:rPr>
        <w:t>indicados</w:t>
      </w:r>
      <w:r w:rsidR="007B1755" w:rsidRPr="00064F50">
        <w:rPr>
          <w:rFonts w:ascii="Century Gothic" w:hAnsi="Century Gothic"/>
          <w:color w:val="002060"/>
        </w:rPr>
        <w:t xml:space="preserve"> quando há necessidade de aplicação</w:t>
      </w:r>
      <w:r w:rsidRPr="00064F50">
        <w:rPr>
          <w:rFonts w:ascii="Century Gothic" w:hAnsi="Century Gothic"/>
          <w:color w:val="002060"/>
        </w:rPr>
        <w:t xml:space="preserve"> manual de medicamentos durante a infusão</w:t>
      </w:r>
      <w:r w:rsidR="00301933" w:rsidRPr="00064F50">
        <w:rPr>
          <w:rFonts w:ascii="Century Gothic" w:hAnsi="Century Gothic"/>
          <w:color w:val="002060"/>
        </w:rPr>
        <w:t>, utilizando o mesmo equipo, evitando a retirada do descartável do acesso venoso.</w:t>
      </w:r>
    </w:p>
    <w:p w14:paraId="01C41A1B" w14:textId="73D80C45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 xml:space="preserve">Quais equipos são dedicados e quais equipos são </w:t>
      </w:r>
      <w:r w:rsidR="007B1755">
        <w:rPr>
          <w:rFonts w:ascii="Century Gothic" w:hAnsi="Century Gothic"/>
          <w:b/>
          <w:bCs/>
          <w:color w:val="002060"/>
        </w:rPr>
        <w:t>“</w:t>
      </w:r>
      <w:r w:rsidRPr="009E3D54">
        <w:rPr>
          <w:rFonts w:ascii="Century Gothic" w:hAnsi="Century Gothic"/>
          <w:b/>
          <w:bCs/>
          <w:color w:val="002060"/>
        </w:rPr>
        <w:t>universais</w:t>
      </w:r>
      <w:r w:rsidR="007B1755">
        <w:rPr>
          <w:rFonts w:ascii="Century Gothic" w:hAnsi="Century Gothic"/>
          <w:b/>
          <w:bCs/>
          <w:color w:val="002060"/>
        </w:rPr>
        <w:t>”</w:t>
      </w:r>
      <w:r w:rsidRPr="009E3D54">
        <w:rPr>
          <w:rFonts w:ascii="Century Gothic" w:hAnsi="Century Gothic"/>
          <w:b/>
          <w:bCs/>
          <w:color w:val="002060"/>
        </w:rPr>
        <w:t>?</w:t>
      </w:r>
    </w:p>
    <w:p w14:paraId="5B2A212C" w14:textId="3D15D631" w:rsidR="003F62BD" w:rsidRPr="009E3D54" w:rsidRDefault="003F62BD" w:rsidP="0080745D">
      <w:pPr>
        <w:jc w:val="both"/>
        <w:rPr>
          <w:rFonts w:ascii="Century Gothic" w:hAnsi="Century Gothic"/>
          <w:color w:val="002060"/>
          <w:u w:val="single"/>
        </w:rPr>
      </w:pPr>
      <w:r w:rsidRPr="009E3D54">
        <w:rPr>
          <w:rFonts w:ascii="Century Gothic" w:hAnsi="Century Gothic"/>
          <w:color w:val="002060"/>
          <w:u w:val="single"/>
        </w:rPr>
        <w:t>Equipos dedicados</w:t>
      </w:r>
      <w:r w:rsidR="007B1755">
        <w:rPr>
          <w:rFonts w:ascii="Century Gothic" w:hAnsi="Century Gothic"/>
          <w:color w:val="002060"/>
          <w:u w:val="single"/>
        </w:rPr>
        <w:t xml:space="preserve"> (com trecho de silicone)</w:t>
      </w:r>
      <w:r w:rsidRPr="009E3D54">
        <w:rPr>
          <w:rFonts w:ascii="Century Gothic" w:hAnsi="Century Gothic"/>
          <w:color w:val="002060"/>
          <w:u w:val="single"/>
        </w:rPr>
        <w:t xml:space="preserve">: </w:t>
      </w:r>
    </w:p>
    <w:p w14:paraId="7A478AFF" w14:textId="152D9302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- Giraset</w:t>
      </w:r>
      <w:r w:rsidRPr="009E3D54">
        <w:rPr>
          <w:rFonts w:ascii="Century Gothic" w:hAnsi="Century Gothic"/>
          <w:color w:val="002060"/>
          <w:vertAlign w:val="superscript"/>
        </w:rPr>
        <w:t>®</w:t>
      </w:r>
      <w:r w:rsidRPr="009E3D54">
        <w:rPr>
          <w:rFonts w:ascii="Century Gothic" w:hAnsi="Century Gothic"/>
          <w:color w:val="002060"/>
        </w:rPr>
        <w:t xml:space="preserve">: </w:t>
      </w:r>
      <w:r w:rsidR="006A609C">
        <w:rPr>
          <w:rFonts w:ascii="Century Gothic" w:hAnsi="Century Gothic"/>
          <w:color w:val="002060"/>
        </w:rPr>
        <w:t>Bomba de infusão modelo ST550T2;</w:t>
      </w:r>
      <w:r w:rsidRPr="009E3D54">
        <w:rPr>
          <w:rFonts w:ascii="Century Gothic" w:hAnsi="Century Gothic"/>
          <w:color w:val="002060"/>
        </w:rPr>
        <w:t xml:space="preserve"> </w:t>
      </w:r>
    </w:p>
    <w:p w14:paraId="25AC4CB4" w14:textId="2E731FAC" w:rsidR="003F62BD" w:rsidRPr="003F62BD" w:rsidRDefault="003F62BD" w:rsidP="0080745D">
      <w:pPr>
        <w:jc w:val="both"/>
        <w:rPr>
          <w:rFonts w:ascii="Century Gothic" w:hAnsi="Century Gothic"/>
          <w:color w:val="002060"/>
        </w:rPr>
      </w:pPr>
      <w:r w:rsidRPr="003F62BD">
        <w:rPr>
          <w:rFonts w:ascii="Century Gothic" w:hAnsi="Century Gothic"/>
          <w:color w:val="002060"/>
        </w:rPr>
        <w:t>- Milset</w:t>
      </w:r>
      <w:r w:rsidRPr="003F62BD">
        <w:rPr>
          <w:rFonts w:ascii="Century Gothic" w:hAnsi="Century Gothic"/>
          <w:color w:val="002060"/>
          <w:vertAlign w:val="superscript"/>
        </w:rPr>
        <w:t>®</w:t>
      </w:r>
      <w:r w:rsidRPr="003F62BD">
        <w:rPr>
          <w:rFonts w:ascii="Century Gothic" w:hAnsi="Century Gothic"/>
          <w:color w:val="002060"/>
        </w:rPr>
        <w:t>:</w:t>
      </w:r>
      <w:r w:rsidR="006A609C" w:rsidRPr="003F62BD">
        <w:rPr>
          <w:rFonts w:ascii="Century Gothic" w:hAnsi="Century Gothic"/>
          <w:color w:val="002060"/>
          <w:vertAlign w:val="superscript"/>
        </w:rPr>
        <w:t xml:space="preserve"> </w:t>
      </w:r>
      <w:r w:rsidRPr="003F62BD">
        <w:rPr>
          <w:rFonts w:ascii="Century Gothic" w:hAnsi="Century Gothic"/>
          <w:color w:val="002060"/>
        </w:rPr>
        <w:t>Bomba de infusão modelo ST1000 SET</w:t>
      </w:r>
      <w:r w:rsidR="006A609C">
        <w:rPr>
          <w:rFonts w:ascii="Century Gothic" w:hAnsi="Century Gothic"/>
          <w:color w:val="002060"/>
        </w:rPr>
        <w:t>;</w:t>
      </w:r>
    </w:p>
    <w:p w14:paraId="5E0756CD" w14:textId="52C648E9" w:rsidR="003F62BD" w:rsidRPr="003C7D42" w:rsidRDefault="003F62BD" w:rsidP="0080745D">
      <w:pPr>
        <w:jc w:val="both"/>
        <w:rPr>
          <w:rFonts w:ascii="Century Gothic" w:hAnsi="Century Gothic"/>
          <w:color w:val="002060"/>
          <w:u w:val="single"/>
        </w:rPr>
      </w:pPr>
      <w:r w:rsidRPr="009E3D54">
        <w:rPr>
          <w:rFonts w:ascii="Century Gothic" w:hAnsi="Century Gothic"/>
          <w:color w:val="002060"/>
        </w:rPr>
        <w:t>- Icaset</w:t>
      </w:r>
      <w:r w:rsidRPr="009E3D54">
        <w:rPr>
          <w:rFonts w:ascii="Century Gothic" w:hAnsi="Century Gothic"/>
          <w:color w:val="002060"/>
          <w:vertAlign w:val="superscript"/>
        </w:rPr>
        <w:t>®</w:t>
      </w:r>
      <w:r w:rsidRPr="009E3D54">
        <w:rPr>
          <w:rFonts w:ascii="Century Gothic" w:hAnsi="Century Gothic"/>
          <w:color w:val="002060"/>
        </w:rPr>
        <w:t>: Bomba de infusão família icatu S</w:t>
      </w:r>
      <w:r w:rsidR="006A609C">
        <w:rPr>
          <w:rFonts w:ascii="Century Gothic" w:hAnsi="Century Gothic"/>
          <w:color w:val="002060"/>
        </w:rPr>
        <w:t>.</w:t>
      </w:r>
    </w:p>
    <w:p w14:paraId="5A99E644" w14:textId="618B85EB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  <w:u w:val="single"/>
        </w:rPr>
        <w:t>Equipo universal</w:t>
      </w:r>
      <w:r w:rsidR="007B1755">
        <w:rPr>
          <w:rFonts w:ascii="Century Gothic" w:hAnsi="Century Gothic"/>
          <w:color w:val="002060"/>
          <w:u w:val="single"/>
        </w:rPr>
        <w:t xml:space="preserve"> (sem trecho de silicone)</w:t>
      </w:r>
      <w:r w:rsidRPr="009E3D54">
        <w:rPr>
          <w:rFonts w:ascii="Century Gothic" w:hAnsi="Century Gothic"/>
          <w:color w:val="002060"/>
        </w:rPr>
        <w:t xml:space="preserve">: </w:t>
      </w:r>
    </w:p>
    <w:p w14:paraId="5D2398D7" w14:textId="07BA6804" w:rsidR="003F62BD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Amiset</w:t>
      </w:r>
      <w:r w:rsidRPr="009E3D54">
        <w:rPr>
          <w:rFonts w:ascii="Century Gothic" w:hAnsi="Century Gothic"/>
          <w:color w:val="002060"/>
          <w:vertAlign w:val="superscript"/>
        </w:rPr>
        <w:t>®</w:t>
      </w:r>
      <w:r w:rsidRPr="009E3D54">
        <w:rPr>
          <w:rFonts w:ascii="Century Gothic" w:hAnsi="Century Gothic"/>
          <w:color w:val="002060"/>
        </w:rPr>
        <w:t xml:space="preserve">: Bombas de infusão modelos ST1000 e família </w:t>
      </w:r>
      <w:r w:rsidR="007B1755">
        <w:rPr>
          <w:rFonts w:ascii="Century Gothic" w:hAnsi="Century Gothic"/>
          <w:color w:val="002060"/>
        </w:rPr>
        <w:t>Icatu e outras bombas de infusão no mercado.</w:t>
      </w:r>
    </w:p>
    <w:p w14:paraId="63E64C62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</w:p>
    <w:p w14:paraId="7E349892" w14:textId="30B4603E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 xml:space="preserve">Qual o volume do prime </w:t>
      </w:r>
      <w:r w:rsidR="007B2353">
        <w:rPr>
          <w:rFonts w:ascii="Century Gothic" w:hAnsi="Century Gothic"/>
          <w:b/>
          <w:bCs/>
          <w:color w:val="002060"/>
        </w:rPr>
        <w:t xml:space="preserve">(preenchimento) </w:t>
      </w:r>
      <w:r w:rsidRPr="009E3D54">
        <w:rPr>
          <w:rFonts w:ascii="Century Gothic" w:hAnsi="Century Gothic"/>
          <w:b/>
          <w:bCs/>
          <w:color w:val="002060"/>
        </w:rPr>
        <w:t>dos descartáveis?</w:t>
      </w:r>
    </w:p>
    <w:p w14:paraId="762722A7" w14:textId="4D014A36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Giraset</w:t>
      </w:r>
      <w:r w:rsidR="00956145" w:rsidRPr="00956145">
        <w:rPr>
          <w:rFonts w:ascii="Century Gothic" w:hAnsi="Century Gothic"/>
          <w:color w:val="002060"/>
          <w:vertAlign w:val="superscript"/>
        </w:rPr>
        <w:t>®</w:t>
      </w:r>
      <w:r w:rsidRPr="009E3D54">
        <w:rPr>
          <w:rFonts w:ascii="Century Gothic" w:hAnsi="Century Gothic"/>
          <w:color w:val="002060"/>
        </w:rPr>
        <w:t>: aproximadamente 14 ml;</w:t>
      </w:r>
    </w:p>
    <w:p w14:paraId="56694D50" w14:textId="0138365D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Milset</w:t>
      </w:r>
      <w:r w:rsidR="00956145" w:rsidRPr="00956145">
        <w:rPr>
          <w:rFonts w:ascii="Century Gothic" w:hAnsi="Century Gothic"/>
          <w:color w:val="002060"/>
          <w:vertAlign w:val="superscript"/>
        </w:rPr>
        <w:t>®</w:t>
      </w:r>
      <w:r w:rsidRPr="009E3D54">
        <w:rPr>
          <w:rFonts w:ascii="Century Gothic" w:hAnsi="Century Gothic"/>
          <w:color w:val="002060"/>
        </w:rPr>
        <w:t>: aproximadamente 14 ml;</w:t>
      </w:r>
    </w:p>
    <w:p w14:paraId="20C7DE97" w14:textId="648A4A40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Icaset</w:t>
      </w:r>
      <w:r w:rsidR="00956145" w:rsidRPr="00956145">
        <w:rPr>
          <w:rFonts w:ascii="Century Gothic" w:hAnsi="Century Gothic"/>
          <w:color w:val="002060"/>
          <w:vertAlign w:val="superscript"/>
        </w:rPr>
        <w:t>®</w:t>
      </w:r>
      <w:r w:rsidRPr="009E3D54">
        <w:rPr>
          <w:rFonts w:ascii="Century Gothic" w:hAnsi="Century Gothic"/>
          <w:color w:val="002060"/>
        </w:rPr>
        <w:t xml:space="preserve">: </w:t>
      </w:r>
      <w:r w:rsidR="00DC02E9" w:rsidRPr="009E3D54">
        <w:rPr>
          <w:rFonts w:ascii="Century Gothic" w:hAnsi="Century Gothic"/>
          <w:color w:val="002060"/>
        </w:rPr>
        <w:t xml:space="preserve">aproximadamente </w:t>
      </w:r>
      <w:r w:rsidRPr="009E3D54">
        <w:rPr>
          <w:rFonts w:ascii="Century Gothic" w:hAnsi="Century Gothic"/>
          <w:color w:val="002060"/>
        </w:rPr>
        <w:t>16 ml</w:t>
      </w:r>
    </w:p>
    <w:p w14:paraId="2EB3093E" w14:textId="284F697F" w:rsidR="003F62BD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Amiset</w:t>
      </w:r>
      <w:r w:rsidR="00956145" w:rsidRPr="00956145">
        <w:rPr>
          <w:rFonts w:ascii="Century Gothic" w:hAnsi="Century Gothic"/>
          <w:color w:val="002060"/>
          <w:vertAlign w:val="superscript"/>
        </w:rPr>
        <w:t>®</w:t>
      </w:r>
      <w:r w:rsidRPr="009E3D54">
        <w:rPr>
          <w:rFonts w:ascii="Century Gothic" w:hAnsi="Century Gothic"/>
          <w:color w:val="002060"/>
        </w:rPr>
        <w:t xml:space="preserve">: </w:t>
      </w:r>
      <w:r w:rsidR="00DC02E9" w:rsidRPr="009E3D54">
        <w:rPr>
          <w:rFonts w:ascii="Century Gothic" w:hAnsi="Century Gothic"/>
          <w:color w:val="002060"/>
        </w:rPr>
        <w:t xml:space="preserve">aproximadamente </w:t>
      </w:r>
      <w:r w:rsidRPr="009E3D54">
        <w:rPr>
          <w:rFonts w:ascii="Century Gothic" w:hAnsi="Century Gothic"/>
          <w:color w:val="002060"/>
        </w:rPr>
        <w:t>15 mL.</w:t>
      </w:r>
    </w:p>
    <w:p w14:paraId="03662EB9" w14:textId="4922F5F6" w:rsidR="006A609C" w:rsidRPr="009E3D54" w:rsidRDefault="006A609C" w:rsidP="0080745D">
      <w:pPr>
        <w:jc w:val="both"/>
        <w:rPr>
          <w:rFonts w:ascii="Century Gothic" w:hAnsi="Century Gothic"/>
          <w:color w:val="002060"/>
        </w:rPr>
      </w:pPr>
      <w:r>
        <w:rPr>
          <w:rFonts w:ascii="Century Gothic" w:hAnsi="Century Gothic"/>
          <w:color w:val="002060"/>
        </w:rPr>
        <w:t>Extenset</w:t>
      </w:r>
      <w:r w:rsidR="00956145" w:rsidRPr="00956145">
        <w:rPr>
          <w:rFonts w:ascii="Century Gothic" w:hAnsi="Century Gothic"/>
          <w:color w:val="002060"/>
          <w:vertAlign w:val="superscript"/>
        </w:rPr>
        <w:t>®</w:t>
      </w:r>
      <w:r w:rsidR="002608F1">
        <w:rPr>
          <w:rFonts w:ascii="Century Gothic" w:hAnsi="Century Gothic"/>
          <w:color w:val="002060"/>
        </w:rPr>
        <w:t>: aproximadamente 1,0 mL, mas dependendo do modelo, pode variar de 0,6 mL até 4,0 mL.</w:t>
      </w:r>
    </w:p>
    <w:p w14:paraId="257666D1" w14:textId="100D4EAD" w:rsidR="003F62BD" w:rsidRPr="009E3D54" w:rsidRDefault="007B2353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>
        <w:rPr>
          <w:rFonts w:ascii="Century Gothic" w:hAnsi="Century Gothic"/>
          <w:b/>
          <w:bCs/>
          <w:color w:val="002060"/>
        </w:rPr>
        <w:t>Quais materiais são</w:t>
      </w:r>
      <w:r w:rsidR="006A609C">
        <w:rPr>
          <w:rFonts w:ascii="Century Gothic" w:hAnsi="Century Gothic"/>
          <w:b/>
          <w:bCs/>
          <w:color w:val="002060"/>
        </w:rPr>
        <w:t xml:space="preserve"> utilizados para produzir</w:t>
      </w:r>
      <w:r>
        <w:rPr>
          <w:rFonts w:ascii="Century Gothic" w:hAnsi="Century Gothic"/>
          <w:b/>
          <w:bCs/>
          <w:color w:val="002060"/>
        </w:rPr>
        <w:t xml:space="preserve"> os equipos Samtronic?</w:t>
      </w:r>
      <w:r w:rsidR="003F62BD" w:rsidRPr="009E3D54">
        <w:rPr>
          <w:rFonts w:ascii="Century Gothic" w:hAnsi="Century Gothic"/>
          <w:b/>
          <w:bCs/>
          <w:color w:val="002060"/>
        </w:rPr>
        <w:t xml:space="preserve"> </w:t>
      </w:r>
    </w:p>
    <w:p w14:paraId="739FDF9C" w14:textId="7D02B47E" w:rsidR="003F62BD" w:rsidRPr="009E3D54" w:rsidRDefault="007A221E" w:rsidP="0080745D">
      <w:pPr>
        <w:jc w:val="both"/>
        <w:rPr>
          <w:rFonts w:ascii="Century Gothic" w:hAnsi="Century Gothic"/>
          <w:color w:val="002060"/>
        </w:rPr>
      </w:pPr>
      <w:r w:rsidRPr="007A221E">
        <w:rPr>
          <w:rFonts w:ascii="Century Gothic" w:hAnsi="Century Gothic"/>
          <w:color w:val="002060"/>
        </w:rPr>
        <w:t xml:space="preserve">Os equipos Samtronic são produzidos em PVC ou PU (poliuretano), dependendo do modelo. </w:t>
      </w:r>
      <w:r>
        <w:rPr>
          <w:rFonts w:ascii="Century Gothic" w:hAnsi="Century Gothic"/>
          <w:color w:val="002060"/>
        </w:rPr>
        <w:t>No entanto, t</w:t>
      </w:r>
      <w:r w:rsidRPr="007A221E">
        <w:rPr>
          <w:rFonts w:ascii="Century Gothic" w:hAnsi="Century Gothic"/>
          <w:color w:val="002060"/>
        </w:rPr>
        <w:t>odos</w:t>
      </w:r>
      <w:r>
        <w:rPr>
          <w:rFonts w:ascii="Century Gothic" w:hAnsi="Century Gothic"/>
          <w:color w:val="002060"/>
        </w:rPr>
        <w:t xml:space="preserve"> os descartáveis </w:t>
      </w:r>
      <w:r w:rsidRPr="007A221E">
        <w:rPr>
          <w:rFonts w:ascii="Century Gothic" w:hAnsi="Century Gothic"/>
          <w:color w:val="002060"/>
        </w:rPr>
        <w:t>são livres de DEHP.</w:t>
      </w:r>
    </w:p>
    <w:p w14:paraId="57524B85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Pode utilizar descartáveis que não sejam recomendados pela Samtronic?</w:t>
      </w:r>
    </w:p>
    <w:p w14:paraId="0B28243B" w14:textId="2DF9E4FA" w:rsidR="003F62BD" w:rsidRPr="009E3D54" w:rsidRDefault="007B2353" w:rsidP="0080745D">
      <w:pPr>
        <w:jc w:val="both"/>
        <w:rPr>
          <w:rFonts w:ascii="Century Gothic" w:hAnsi="Century Gothic"/>
          <w:color w:val="002060"/>
        </w:rPr>
      </w:pPr>
      <w:r>
        <w:rPr>
          <w:rFonts w:ascii="Century Gothic" w:hAnsi="Century Gothic"/>
          <w:color w:val="002060"/>
        </w:rPr>
        <w:t>Para as</w:t>
      </w:r>
      <w:r w:rsidR="003F62BD" w:rsidRPr="009E3D54">
        <w:rPr>
          <w:rFonts w:ascii="Century Gothic" w:hAnsi="Century Gothic"/>
          <w:color w:val="002060"/>
        </w:rPr>
        <w:t xml:space="preserve"> bombas de infusão </w:t>
      </w:r>
      <w:r>
        <w:rPr>
          <w:rFonts w:ascii="Century Gothic" w:hAnsi="Century Gothic"/>
          <w:color w:val="002060"/>
        </w:rPr>
        <w:t xml:space="preserve">que </w:t>
      </w:r>
      <w:r w:rsidR="003F62BD" w:rsidRPr="009E3D54">
        <w:rPr>
          <w:rFonts w:ascii="Century Gothic" w:hAnsi="Century Gothic"/>
          <w:color w:val="002060"/>
        </w:rPr>
        <w:t>utilizam equipos dedicados, não é possível utilizar descartáveis de outros fabricantes.</w:t>
      </w:r>
    </w:p>
    <w:p w14:paraId="1E02A907" w14:textId="598213E5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Para as bombas de infusão “abertas” (ST1000 e icatu), podemos utilizar a linha Amiset</w:t>
      </w:r>
      <w:r w:rsidRPr="009E3D54">
        <w:rPr>
          <w:rFonts w:ascii="Century Gothic" w:hAnsi="Century Gothic"/>
          <w:color w:val="002060"/>
          <w:vertAlign w:val="superscript"/>
        </w:rPr>
        <w:t>®</w:t>
      </w:r>
      <w:r w:rsidRPr="009E3D54">
        <w:rPr>
          <w:rFonts w:ascii="Century Gothic" w:hAnsi="Century Gothic"/>
          <w:color w:val="002060"/>
        </w:rPr>
        <w:t xml:space="preserve"> ou outros descartáveis exclusivos para bombas de infusão (</w:t>
      </w:r>
      <w:r w:rsidR="007B2353">
        <w:rPr>
          <w:rFonts w:ascii="Century Gothic" w:hAnsi="Century Gothic"/>
          <w:color w:val="002060"/>
        </w:rPr>
        <w:t>conforme apresentado no manual do usuário, para cada equipamento</w:t>
      </w:r>
      <w:r w:rsidRPr="009E3D54">
        <w:rPr>
          <w:rFonts w:ascii="Century Gothic" w:hAnsi="Century Gothic"/>
          <w:color w:val="002060"/>
        </w:rPr>
        <w:t xml:space="preserve">). </w:t>
      </w:r>
    </w:p>
    <w:p w14:paraId="671B30DB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 xml:space="preserve">Proibido o uso de equipos indicados para uso gravitacional. </w:t>
      </w:r>
    </w:p>
    <w:p w14:paraId="1BA9A987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Porque alguns descartáveis não permitem o preenchimento de forma gravitacional?</w:t>
      </w:r>
    </w:p>
    <w:p w14:paraId="6BC77714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Os modelos de descartáveis que contenham no código “</w:t>
      </w:r>
      <w:r w:rsidRPr="00446029">
        <w:rPr>
          <w:rFonts w:ascii="Century Gothic" w:hAnsi="Century Gothic"/>
          <w:b/>
          <w:color w:val="002060"/>
        </w:rPr>
        <w:t>A</w:t>
      </w:r>
      <w:r w:rsidRPr="009E3D54">
        <w:rPr>
          <w:rFonts w:ascii="Century Gothic" w:hAnsi="Century Gothic"/>
          <w:color w:val="002060"/>
        </w:rPr>
        <w:t xml:space="preserve">000”, possuem em sua estrutura uma válvula antirefluxo e não permitem que o preenchimento seja realizado de forma gravitacional. </w:t>
      </w:r>
    </w:p>
    <w:p w14:paraId="5E3031DA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Ou seja, o preenchimento do descartável deverá ser realizado exclusivamente pela bomba de infusão, através da tecla “purgar”.</w:t>
      </w:r>
    </w:p>
    <w:p w14:paraId="52C37BAA" w14:textId="1F8AFC6C" w:rsidR="003F62BD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 xml:space="preserve">Qual a recomendação para a </w:t>
      </w:r>
      <w:r w:rsidR="00310240">
        <w:rPr>
          <w:rFonts w:ascii="Century Gothic" w:hAnsi="Century Gothic"/>
          <w:b/>
          <w:bCs/>
          <w:color w:val="002060"/>
        </w:rPr>
        <w:t>substituição</w:t>
      </w:r>
      <w:r w:rsidRPr="009E3D54">
        <w:rPr>
          <w:rFonts w:ascii="Century Gothic" w:hAnsi="Century Gothic"/>
          <w:b/>
          <w:bCs/>
          <w:color w:val="002060"/>
        </w:rPr>
        <w:t xml:space="preserve"> dos descartáveis?</w:t>
      </w:r>
    </w:p>
    <w:p w14:paraId="3FD03EE6" w14:textId="77777777" w:rsidR="003F62BD" w:rsidRPr="009E3D54" w:rsidRDefault="003F62BD" w:rsidP="0080745D">
      <w:pPr>
        <w:pStyle w:val="PargrafodaLista"/>
        <w:jc w:val="both"/>
        <w:rPr>
          <w:rFonts w:ascii="Century Gothic" w:hAnsi="Century Gothic"/>
          <w:b/>
          <w:bCs/>
          <w:color w:val="002060"/>
        </w:rPr>
      </w:pPr>
    </w:p>
    <w:p w14:paraId="79C8783C" w14:textId="77777777" w:rsidR="003F62BD" w:rsidRDefault="003F62BD" w:rsidP="0080745D">
      <w:pPr>
        <w:pStyle w:val="PargrafodaLista"/>
        <w:numPr>
          <w:ilvl w:val="0"/>
          <w:numId w:val="2"/>
        </w:numPr>
        <w:jc w:val="both"/>
        <w:rPr>
          <w:rFonts w:ascii="Century Gothic" w:hAnsi="Century Gothic"/>
          <w:color w:val="002060"/>
        </w:rPr>
      </w:pPr>
      <w:r w:rsidRPr="003F62BD">
        <w:rPr>
          <w:rFonts w:ascii="Century Gothic" w:hAnsi="Century Gothic"/>
          <w:color w:val="002060"/>
        </w:rPr>
        <w:t>Giraset</w:t>
      </w:r>
      <w:r w:rsidRPr="003F62BD">
        <w:rPr>
          <w:rFonts w:ascii="Century Gothic" w:hAnsi="Century Gothic"/>
          <w:color w:val="002060"/>
          <w:vertAlign w:val="superscript"/>
        </w:rPr>
        <w:t>®</w:t>
      </w:r>
      <w:r w:rsidRPr="003F62BD">
        <w:rPr>
          <w:rFonts w:ascii="Century Gothic" w:hAnsi="Century Gothic"/>
          <w:color w:val="002060"/>
        </w:rPr>
        <w:t>: a cada 48 horas;</w:t>
      </w:r>
    </w:p>
    <w:p w14:paraId="40976A53" w14:textId="77777777" w:rsidR="003F62BD" w:rsidRDefault="003F62BD" w:rsidP="0080745D">
      <w:pPr>
        <w:pStyle w:val="PargrafodaLista"/>
        <w:numPr>
          <w:ilvl w:val="0"/>
          <w:numId w:val="2"/>
        </w:numPr>
        <w:jc w:val="both"/>
        <w:rPr>
          <w:rFonts w:ascii="Century Gothic" w:hAnsi="Century Gothic"/>
          <w:color w:val="002060"/>
        </w:rPr>
      </w:pPr>
      <w:r w:rsidRPr="003F62BD">
        <w:rPr>
          <w:rFonts w:ascii="Century Gothic" w:hAnsi="Century Gothic"/>
          <w:color w:val="002060"/>
        </w:rPr>
        <w:t>Milset</w:t>
      </w:r>
      <w:r w:rsidRPr="003F62BD">
        <w:rPr>
          <w:rFonts w:ascii="Century Gothic" w:hAnsi="Century Gothic"/>
          <w:color w:val="002060"/>
          <w:vertAlign w:val="superscript"/>
        </w:rPr>
        <w:t>®</w:t>
      </w:r>
      <w:r w:rsidRPr="003F62BD">
        <w:rPr>
          <w:rFonts w:ascii="Century Gothic" w:hAnsi="Century Gothic"/>
          <w:color w:val="002060"/>
        </w:rPr>
        <w:t>:  a cada 72 horas;</w:t>
      </w:r>
    </w:p>
    <w:p w14:paraId="3B9962AB" w14:textId="77777777" w:rsidR="003F62BD" w:rsidRDefault="003F62BD" w:rsidP="0080745D">
      <w:pPr>
        <w:pStyle w:val="PargrafodaLista"/>
        <w:numPr>
          <w:ilvl w:val="0"/>
          <w:numId w:val="2"/>
        </w:numPr>
        <w:jc w:val="both"/>
        <w:rPr>
          <w:rFonts w:ascii="Century Gothic" w:hAnsi="Century Gothic"/>
          <w:color w:val="002060"/>
        </w:rPr>
      </w:pPr>
      <w:r w:rsidRPr="003F62BD">
        <w:rPr>
          <w:rFonts w:ascii="Century Gothic" w:hAnsi="Century Gothic"/>
          <w:color w:val="002060"/>
        </w:rPr>
        <w:t>Icaset</w:t>
      </w:r>
      <w:r w:rsidRPr="003F62BD">
        <w:rPr>
          <w:rFonts w:ascii="Century Gothic" w:hAnsi="Century Gothic"/>
          <w:color w:val="002060"/>
          <w:vertAlign w:val="superscript"/>
        </w:rPr>
        <w:t>®</w:t>
      </w:r>
      <w:r w:rsidRPr="003F62BD">
        <w:rPr>
          <w:rFonts w:ascii="Century Gothic" w:hAnsi="Century Gothic"/>
          <w:color w:val="002060"/>
        </w:rPr>
        <w:t>:  a cada 72 horas;</w:t>
      </w:r>
    </w:p>
    <w:p w14:paraId="3F2701D5" w14:textId="1E5B9CC1" w:rsidR="003F62BD" w:rsidRPr="003F62BD" w:rsidRDefault="003F62BD" w:rsidP="0080745D">
      <w:pPr>
        <w:pStyle w:val="PargrafodaLista"/>
        <w:numPr>
          <w:ilvl w:val="0"/>
          <w:numId w:val="2"/>
        </w:numPr>
        <w:jc w:val="both"/>
        <w:rPr>
          <w:rFonts w:ascii="Century Gothic" w:hAnsi="Century Gothic"/>
          <w:color w:val="002060"/>
        </w:rPr>
      </w:pPr>
      <w:r w:rsidRPr="003F62BD">
        <w:rPr>
          <w:rFonts w:ascii="Century Gothic" w:hAnsi="Century Gothic"/>
          <w:color w:val="002060"/>
        </w:rPr>
        <w:t>Amiset</w:t>
      </w:r>
      <w:r w:rsidRPr="003F62BD">
        <w:rPr>
          <w:rFonts w:ascii="Century Gothic" w:hAnsi="Century Gothic"/>
          <w:color w:val="002060"/>
          <w:vertAlign w:val="superscript"/>
        </w:rPr>
        <w:t>®</w:t>
      </w:r>
      <w:r w:rsidRPr="003F62BD">
        <w:rPr>
          <w:rFonts w:ascii="Century Gothic" w:hAnsi="Century Gothic"/>
          <w:color w:val="002060"/>
        </w:rPr>
        <w:t>:  a cada 96 horas (com troca do trecho a cada 24 horas).</w:t>
      </w:r>
    </w:p>
    <w:p w14:paraId="5D42A7A5" w14:textId="77777777" w:rsidR="002608F1" w:rsidRDefault="002608F1" w:rsidP="0080745D">
      <w:pPr>
        <w:jc w:val="both"/>
        <w:rPr>
          <w:rFonts w:ascii="Century Gothic" w:hAnsi="Century Gothic"/>
          <w:color w:val="002060"/>
        </w:rPr>
      </w:pPr>
    </w:p>
    <w:p w14:paraId="61265781" w14:textId="77777777" w:rsidR="002608F1" w:rsidRDefault="002608F1" w:rsidP="0080745D">
      <w:pPr>
        <w:jc w:val="both"/>
        <w:rPr>
          <w:rFonts w:ascii="Century Gothic" w:hAnsi="Century Gothic"/>
          <w:color w:val="002060"/>
        </w:rPr>
      </w:pPr>
    </w:p>
    <w:tbl>
      <w:tblPr>
        <w:tblStyle w:val="Tabelacomgrade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2608F1" w14:paraId="42A589B1" w14:textId="77777777" w:rsidTr="003A44E4">
        <w:trPr>
          <w:trHeight w:val="841"/>
        </w:trPr>
        <w:tc>
          <w:tcPr>
            <w:tcW w:w="8644" w:type="dxa"/>
            <w:vAlign w:val="center"/>
          </w:tcPr>
          <w:p w14:paraId="3BEE5E54" w14:textId="5B4DCAC4" w:rsidR="002608F1" w:rsidRDefault="002608F1" w:rsidP="002608F1">
            <w:pPr>
              <w:jc w:val="both"/>
              <w:rPr>
                <w:rFonts w:ascii="Century Gothic" w:hAnsi="Century Gothic"/>
                <w:color w:val="002060"/>
              </w:rPr>
            </w:pPr>
            <w:r w:rsidRPr="002608F1">
              <w:rPr>
                <w:rFonts w:ascii="Century Gothic" w:hAnsi="Century Gothic"/>
                <w:b/>
                <w:color w:val="002060"/>
              </w:rPr>
              <w:lastRenderedPageBreak/>
              <w:t>OBSERVAÇÃO:</w:t>
            </w:r>
            <w:r w:rsidRPr="009E3D54">
              <w:rPr>
                <w:rFonts w:ascii="Century Gothic" w:hAnsi="Century Gothic"/>
                <w:color w:val="002060"/>
              </w:rPr>
              <w:t xml:space="preserve"> essa recomendação é exclusiva do fabricante, no entanto, poderá sofrer alteração, dependendo da CCIH da Instituição</w:t>
            </w:r>
            <w:r>
              <w:rPr>
                <w:rFonts w:ascii="Century Gothic" w:hAnsi="Century Gothic"/>
                <w:color w:val="002060"/>
              </w:rPr>
              <w:t>, não podendo ultrapassar o tempo especificado pela Samtronic.</w:t>
            </w:r>
          </w:p>
        </w:tc>
      </w:tr>
    </w:tbl>
    <w:p w14:paraId="16F7E5A7" w14:textId="77777777" w:rsidR="002608F1" w:rsidRDefault="002608F1" w:rsidP="0080745D">
      <w:pPr>
        <w:jc w:val="both"/>
        <w:rPr>
          <w:rFonts w:ascii="Century Gothic" w:hAnsi="Century Gothic"/>
          <w:color w:val="002060"/>
        </w:rPr>
      </w:pPr>
    </w:p>
    <w:p w14:paraId="3DF6C6E8" w14:textId="552E45B3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 xml:space="preserve">Equipos </w:t>
      </w:r>
      <w:r w:rsidRPr="009E3D54">
        <w:rPr>
          <w:rFonts w:ascii="Century Gothic" w:hAnsi="Century Gothic"/>
          <w:b/>
          <w:bCs/>
          <w:i/>
          <w:iCs/>
          <w:color w:val="002060"/>
        </w:rPr>
        <w:t>needle free</w:t>
      </w:r>
      <w:r w:rsidRPr="009E3D54">
        <w:rPr>
          <w:rFonts w:ascii="Century Gothic" w:hAnsi="Century Gothic"/>
          <w:b/>
          <w:bCs/>
          <w:color w:val="002060"/>
        </w:rPr>
        <w:t xml:space="preserve"> (sistema livre de agulha), pode</w:t>
      </w:r>
      <w:r w:rsidR="006A609C">
        <w:rPr>
          <w:rFonts w:ascii="Century Gothic" w:hAnsi="Century Gothic"/>
          <w:b/>
          <w:bCs/>
          <w:color w:val="002060"/>
        </w:rPr>
        <w:t>m</w:t>
      </w:r>
      <w:r w:rsidRPr="009E3D54">
        <w:rPr>
          <w:rFonts w:ascii="Century Gothic" w:hAnsi="Century Gothic"/>
          <w:b/>
          <w:bCs/>
          <w:color w:val="002060"/>
        </w:rPr>
        <w:t xml:space="preserve"> ser utilizado</w:t>
      </w:r>
      <w:r w:rsidR="006A609C">
        <w:rPr>
          <w:rFonts w:ascii="Century Gothic" w:hAnsi="Century Gothic"/>
          <w:b/>
          <w:bCs/>
          <w:color w:val="002060"/>
        </w:rPr>
        <w:t>s</w:t>
      </w:r>
      <w:r w:rsidRPr="009E3D54">
        <w:rPr>
          <w:rFonts w:ascii="Century Gothic" w:hAnsi="Century Gothic"/>
          <w:b/>
          <w:bCs/>
          <w:color w:val="002060"/>
        </w:rPr>
        <w:t xml:space="preserve"> em conjunto com seringas de bico?</w:t>
      </w:r>
    </w:p>
    <w:p w14:paraId="1DC432CF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Sim. Os equipos needle free podem ser utilizados em conjunto com seringas tanto luer lock quanto a luer slip.</w:t>
      </w:r>
    </w:p>
    <w:p w14:paraId="0ADDDE1C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Quais são as filtragens que o filtro na linha dos descartáveis desempenha?</w:t>
      </w:r>
    </w:p>
    <w:p w14:paraId="7C9E8068" w14:textId="62C6672D" w:rsidR="003F62BD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O filtro na linha que compõem o descartável modelo “</w:t>
      </w:r>
      <w:r w:rsidR="007A221E">
        <w:rPr>
          <w:rFonts w:ascii="Century Gothic" w:hAnsi="Century Gothic"/>
          <w:color w:val="002060"/>
        </w:rPr>
        <w:t>CFI0</w:t>
      </w:r>
      <w:r w:rsidRPr="009E3D54">
        <w:rPr>
          <w:rFonts w:ascii="Century Gothic" w:hAnsi="Century Gothic"/>
          <w:color w:val="002060"/>
        </w:rPr>
        <w:t>” desempenham a Filtração de partículas e ar (bolhas de ar).</w:t>
      </w:r>
    </w:p>
    <w:p w14:paraId="74A00725" w14:textId="5237DA2F" w:rsidR="00310240" w:rsidRPr="009E3D54" w:rsidRDefault="00310240" w:rsidP="0080745D">
      <w:pPr>
        <w:jc w:val="both"/>
        <w:rPr>
          <w:rFonts w:ascii="Century Gothic" w:hAnsi="Century Gothic"/>
          <w:color w:val="002060"/>
        </w:rPr>
      </w:pPr>
      <w:r>
        <w:rPr>
          <w:rFonts w:ascii="Century Gothic" w:hAnsi="Century Gothic"/>
          <w:color w:val="002060"/>
        </w:rPr>
        <w:t>Estão disponíveis equipos com filtros de 0.5 micra e 0.22 micra.</w:t>
      </w:r>
    </w:p>
    <w:p w14:paraId="67B10460" w14:textId="630E2C2E" w:rsidR="003F62BD" w:rsidRPr="009E3D54" w:rsidRDefault="006A609C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>
        <w:rPr>
          <w:rFonts w:ascii="Century Gothic" w:hAnsi="Century Gothic"/>
          <w:b/>
          <w:bCs/>
          <w:color w:val="002060"/>
        </w:rPr>
        <w:t>O</w:t>
      </w:r>
      <w:r w:rsidR="00310240" w:rsidRPr="009E3D54">
        <w:rPr>
          <w:rFonts w:ascii="Century Gothic" w:hAnsi="Century Gothic"/>
          <w:b/>
          <w:bCs/>
          <w:color w:val="002060"/>
        </w:rPr>
        <w:t xml:space="preserve">nde deve ser descartado </w:t>
      </w:r>
      <w:r w:rsidR="00310240">
        <w:rPr>
          <w:rFonts w:ascii="Century Gothic" w:hAnsi="Century Gothic"/>
          <w:b/>
          <w:bCs/>
          <w:color w:val="002060"/>
        </w:rPr>
        <w:t>o equipo u</w:t>
      </w:r>
      <w:r w:rsidR="003F62BD" w:rsidRPr="009E3D54">
        <w:rPr>
          <w:rFonts w:ascii="Century Gothic" w:hAnsi="Century Gothic"/>
          <w:b/>
          <w:bCs/>
          <w:color w:val="002060"/>
        </w:rPr>
        <w:t>tilizado</w:t>
      </w:r>
      <w:r w:rsidR="00310240">
        <w:rPr>
          <w:rFonts w:ascii="Century Gothic" w:hAnsi="Century Gothic"/>
          <w:b/>
          <w:bCs/>
          <w:color w:val="002060"/>
        </w:rPr>
        <w:t xml:space="preserve"> </w:t>
      </w:r>
      <w:r w:rsidR="003F62BD" w:rsidRPr="009E3D54">
        <w:rPr>
          <w:rFonts w:ascii="Century Gothic" w:hAnsi="Century Gothic"/>
          <w:b/>
          <w:bCs/>
          <w:color w:val="002060"/>
        </w:rPr>
        <w:t>com quimioterápico ou medicamento de alto risco?</w:t>
      </w:r>
    </w:p>
    <w:p w14:paraId="0D01B49D" w14:textId="6A0FC874" w:rsidR="003F62BD" w:rsidRPr="009E3D54" w:rsidRDefault="003F62BD" w:rsidP="0080745D">
      <w:p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color w:val="002060"/>
        </w:rPr>
        <w:t>Estes equipos deverão ser descartados nos recipientes identificados como “material tóxico”</w:t>
      </w:r>
      <w:r w:rsidR="00310240">
        <w:rPr>
          <w:rFonts w:ascii="Century Gothic" w:hAnsi="Century Gothic"/>
          <w:color w:val="002060"/>
        </w:rPr>
        <w:t xml:space="preserve"> (laranja)</w:t>
      </w:r>
      <w:r w:rsidRPr="009E3D54">
        <w:rPr>
          <w:rFonts w:ascii="Century Gothic" w:hAnsi="Century Gothic"/>
          <w:color w:val="002060"/>
        </w:rPr>
        <w:t xml:space="preserve">. </w:t>
      </w:r>
    </w:p>
    <w:p w14:paraId="157AA76E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Pode ser utilizada qualquer seringa junto com as bombas de seringa?</w:t>
      </w:r>
    </w:p>
    <w:p w14:paraId="4F99F1B8" w14:textId="36E650B3" w:rsidR="003F62BD" w:rsidRDefault="003F62BD" w:rsidP="0080745D">
      <w:pPr>
        <w:jc w:val="both"/>
        <w:rPr>
          <w:rFonts w:ascii="Century Gothic" w:hAnsi="Century Gothic"/>
          <w:color w:val="002060"/>
        </w:rPr>
      </w:pPr>
      <w:r w:rsidRPr="009D7974">
        <w:rPr>
          <w:rFonts w:ascii="Century Gothic" w:hAnsi="Century Gothic"/>
          <w:color w:val="002060"/>
        </w:rPr>
        <w:t xml:space="preserve">Não. Deverão ser utilizadas somente seringas certificadas para uso em conjunto com bombas de infusão, conforme descrito na RDC </w:t>
      </w:r>
      <w:r w:rsidR="009D7974" w:rsidRPr="009D7974">
        <w:rPr>
          <w:rFonts w:ascii="Century Gothic" w:hAnsi="Century Gothic"/>
          <w:color w:val="002060"/>
        </w:rPr>
        <w:t>541</w:t>
      </w:r>
      <w:r w:rsidRPr="009D7974">
        <w:rPr>
          <w:rFonts w:ascii="Century Gothic" w:hAnsi="Century Gothic"/>
          <w:color w:val="002060"/>
        </w:rPr>
        <w:t xml:space="preserve"> de </w:t>
      </w:r>
      <w:r w:rsidR="009D7974" w:rsidRPr="009D7974">
        <w:rPr>
          <w:rFonts w:ascii="Century Gothic" w:hAnsi="Century Gothic"/>
          <w:color w:val="002060"/>
        </w:rPr>
        <w:t>30 de agosto de 2021</w:t>
      </w:r>
      <w:r w:rsidRPr="009D7974">
        <w:rPr>
          <w:rFonts w:ascii="Century Gothic" w:hAnsi="Century Gothic"/>
          <w:color w:val="002060"/>
        </w:rPr>
        <w:t>.</w:t>
      </w:r>
    </w:p>
    <w:p w14:paraId="6AB28A4A" w14:textId="3FD79865" w:rsidR="0080745D" w:rsidRDefault="0080745D" w:rsidP="0080745D">
      <w:pPr>
        <w:jc w:val="both"/>
        <w:rPr>
          <w:rFonts w:ascii="Century Gothic" w:hAnsi="Century Gothic"/>
          <w:color w:val="002060"/>
        </w:rPr>
      </w:pPr>
      <w:r>
        <w:rPr>
          <w:rFonts w:ascii="Century Gothic" w:hAnsi="Century Gothic"/>
          <w:color w:val="002060"/>
        </w:rPr>
        <w:t>Caso a seringa certificada para bomba não esteja cadastrada na bomba de infusão, é necessário realizar a calibração através do menu técnico</w:t>
      </w:r>
      <w:r w:rsidR="006A609C">
        <w:rPr>
          <w:rFonts w:ascii="Century Gothic" w:hAnsi="Century Gothic"/>
          <w:color w:val="002060"/>
        </w:rPr>
        <w:t xml:space="preserve"> ou menu engenharia clínica</w:t>
      </w:r>
      <w:r>
        <w:rPr>
          <w:rFonts w:ascii="Century Gothic" w:hAnsi="Century Gothic"/>
          <w:color w:val="002060"/>
        </w:rPr>
        <w:t xml:space="preserve"> do equipamento.</w:t>
      </w:r>
    </w:p>
    <w:tbl>
      <w:tblPr>
        <w:tblStyle w:val="Tabelacomgrade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2608F1" w14:paraId="4765F2DE" w14:textId="77777777" w:rsidTr="002608F1">
        <w:tc>
          <w:tcPr>
            <w:tcW w:w="8644" w:type="dxa"/>
            <w:vAlign w:val="center"/>
          </w:tcPr>
          <w:p w14:paraId="5B25777E" w14:textId="7F81BF6C" w:rsidR="002608F1" w:rsidRDefault="002608F1" w:rsidP="002608F1">
            <w:pPr>
              <w:jc w:val="both"/>
              <w:rPr>
                <w:rFonts w:ascii="Century Gothic" w:hAnsi="Century Gothic"/>
                <w:color w:val="002060"/>
              </w:rPr>
            </w:pPr>
            <w:r>
              <w:rPr>
                <w:rFonts w:ascii="Century Gothic" w:hAnsi="Century Gothic"/>
                <w:color w:val="002060"/>
              </w:rPr>
              <w:t>NOTA: Bombas de infusão que contenham a sigla “S”, deverão ser utilizadas somente seringas Samtronic Serisam</w:t>
            </w:r>
            <w:r w:rsidRPr="002608F1">
              <w:rPr>
                <w:rFonts w:ascii="Century Gothic" w:hAnsi="Century Gothic"/>
                <w:color w:val="002060"/>
                <w:vertAlign w:val="superscript"/>
              </w:rPr>
              <w:t>®</w:t>
            </w:r>
            <w:r>
              <w:rPr>
                <w:rFonts w:ascii="Century Gothic" w:hAnsi="Century Gothic"/>
                <w:color w:val="002060"/>
              </w:rPr>
              <w:t xml:space="preserve">. </w:t>
            </w:r>
          </w:p>
        </w:tc>
      </w:tr>
    </w:tbl>
    <w:p w14:paraId="74DD1ACB" w14:textId="3CB2AFC1" w:rsidR="002608F1" w:rsidRDefault="002608F1" w:rsidP="0080745D">
      <w:pPr>
        <w:jc w:val="both"/>
        <w:rPr>
          <w:rFonts w:ascii="Century Gothic" w:hAnsi="Century Gothic"/>
          <w:color w:val="002060"/>
        </w:rPr>
      </w:pPr>
    </w:p>
    <w:p w14:paraId="2E0D58F4" w14:textId="082E700D" w:rsidR="009D7974" w:rsidRPr="000E011E" w:rsidRDefault="009D7974" w:rsidP="009D7974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0E011E">
        <w:rPr>
          <w:rFonts w:ascii="Century Gothic" w:hAnsi="Century Gothic"/>
          <w:b/>
          <w:bCs/>
          <w:color w:val="002060"/>
        </w:rPr>
        <w:t xml:space="preserve">Quais são as </w:t>
      </w:r>
      <w:r w:rsidR="00E271EA">
        <w:rPr>
          <w:rFonts w:ascii="Century Gothic" w:hAnsi="Century Gothic"/>
          <w:b/>
          <w:bCs/>
          <w:color w:val="002060"/>
        </w:rPr>
        <w:t>Portarias/RDC’s</w:t>
      </w:r>
      <w:r w:rsidRPr="000E011E">
        <w:rPr>
          <w:rFonts w:ascii="Century Gothic" w:hAnsi="Century Gothic"/>
          <w:b/>
          <w:bCs/>
          <w:color w:val="002060"/>
        </w:rPr>
        <w:t xml:space="preserve"> </w:t>
      </w:r>
      <w:r w:rsidR="000E011E" w:rsidRPr="000E011E">
        <w:rPr>
          <w:rFonts w:ascii="Century Gothic" w:hAnsi="Century Gothic"/>
          <w:b/>
          <w:bCs/>
          <w:color w:val="002060"/>
        </w:rPr>
        <w:t>aplicáveis aos descartáveis?</w:t>
      </w:r>
    </w:p>
    <w:p w14:paraId="1B05D4CB" w14:textId="63B4D053" w:rsidR="000E011E" w:rsidRPr="003A44E4" w:rsidRDefault="003A44E4" w:rsidP="003A44E4">
      <w:pPr>
        <w:jc w:val="both"/>
        <w:rPr>
          <w:rFonts w:ascii="Century Gothic" w:hAnsi="Century Gothic"/>
          <w:b/>
          <w:bCs/>
          <w:color w:val="002060"/>
        </w:rPr>
      </w:pPr>
      <w:r>
        <w:rPr>
          <w:rFonts w:ascii="Century Gothic" w:hAnsi="Century Gothic"/>
          <w:b/>
          <w:bCs/>
          <w:color w:val="002060"/>
        </w:rPr>
        <w:t xml:space="preserve">- </w:t>
      </w:r>
      <w:r w:rsidR="000E011E" w:rsidRPr="003A44E4">
        <w:rPr>
          <w:rFonts w:ascii="Century Gothic" w:hAnsi="Century Gothic"/>
          <w:b/>
          <w:bCs/>
          <w:color w:val="002060"/>
        </w:rPr>
        <w:t>Equipos</w:t>
      </w:r>
      <w:r w:rsidR="00E271EA">
        <w:rPr>
          <w:rFonts w:ascii="Century Gothic" w:hAnsi="Century Gothic"/>
          <w:b/>
          <w:bCs/>
          <w:color w:val="002060"/>
        </w:rPr>
        <w:t>:</w:t>
      </w:r>
    </w:p>
    <w:p w14:paraId="49C12CBD" w14:textId="77777777" w:rsidR="000E011E" w:rsidRPr="003A44E4" w:rsidRDefault="000E011E" w:rsidP="003A44E4">
      <w:pPr>
        <w:pStyle w:val="PargrafodaLista"/>
        <w:numPr>
          <w:ilvl w:val="0"/>
          <w:numId w:val="3"/>
        </w:numPr>
        <w:jc w:val="both"/>
        <w:rPr>
          <w:rFonts w:ascii="Century Gothic" w:hAnsi="Century Gothic"/>
          <w:color w:val="002060"/>
          <w:u w:val="single"/>
        </w:rPr>
      </w:pPr>
      <w:r w:rsidRPr="003A44E4">
        <w:rPr>
          <w:rFonts w:ascii="Century Gothic" w:hAnsi="Century Gothic"/>
          <w:color w:val="002060"/>
          <w:u w:val="single"/>
        </w:rPr>
        <w:t>PORTARIA INMETRO Nº 461, DE 18 DE NOVEMBRO DE 2021</w:t>
      </w:r>
    </w:p>
    <w:p w14:paraId="12DE22F5" w14:textId="788D6255" w:rsidR="000E011E" w:rsidRPr="003A44E4" w:rsidRDefault="000E011E" w:rsidP="003A44E4">
      <w:pPr>
        <w:jc w:val="both"/>
        <w:rPr>
          <w:rFonts w:ascii="Century Gothic" w:hAnsi="Century Gothic"/>
          <w:color w:val="002060"/>
        </w:rPr>
      </w:pPr>
      <w:r w:rsidRPr="003A44E4">
        <w:rPr>
          <w:rFonts w:ascii="Century Gothic" w:hAnsi="Century Gothic"/>
          <w:color w:val="002060"/>
        </w:rPr>
        <w:t>Aprova os Requisitos de Avaliação da Conformidade para Equipos de Uso Único de Transfusão, de Infusão Gravitacional e de Infusão para Uso com Bomba de Infusão – Consolidado</w:t>
      </w:r>
      <w:r w:rsidR="00E271EA">
        <w:rPr>
          <w:rFonts w:ascii="Century Gothic" w:hAnsi="Century Gothic"/>
          <w:color w:val="002060"/>
        </w:rPr>
        <w:t>.</w:t>
      </w:r>
    </w:p>
    <w:p w14:paraId="014E3D78" w14:textId="77777777" w:rsidR="000E011E" w:rsidRPr="003A44E4" w:rsidRDefault="000E011E" w:rsidP="003A44E4">
      <w:pPr>
        <w:pStyle w:val="PargrafodaLista"/>
        <w:numPr>
          <w:ilvl w:val="0"/>
          <w:numId w:val="3"/>
        </w:numPr>
        <w:rPr>
          <w:rFonts w:ascii="Century Gothic" w:hAnsi="Century Gothic"/>
          <w:color w:val="002060"/>
          <w:sz w:val="24"/>
          <w:szCs w:val="24"/>
          <w:u w:val="single"/>
        </w:rPr>
      </w:pPr>
      <w:r w:rsidRPr="003A44E4">
        <w:rPr>
          <w:rFonts w:ascii="Century Gothic" w:hAnsi="Century Gothic"/>
          <w:color w:val="002060"/>
          <w:sz w:val="24"/>
          <w:szCs w:val="24"/>
          <w:u w:val="single"/>
        </w:rPr>
        <w:lastRenderedPageBreak/>
        <w:t>RDC Nº 539, DE 30 DE AGOSTO DE 2021</w:t>
      </w:r>
    </w:p>
    <w:p w14:paraId="3198D72C" w14:textId="77777777" w:rsidR="000E011E" w:rsidRPr="003A44E4" w:rsidRDefault="000E011E" w:rsidP="003A44E4">
      <w:pPr>
        <w:jc w:val="both"/>
        <w:rPr>
          <w:rFonts w:ascii="Century Gothic" w:hAnsi="Century Gothic"/>
          <w:color w:val="002060"/>
        </w:rPr>
      </w:pPr>
      <w:r w:rsidRPr="003A44E4">
        <w:rPr>
          <w:rFonts w:ascii="Century Gothic" w:hAnsi="Century Gothic"/>
          <w:color w:val="002060"/>
        </w:rPr>
        <w:t>Estabelece os requisitos mínimos de identidade e qualidade para os equipos de uso único de transfusão, de infusão gravitacional e de infusão para uso com bomba de infusão.</w:t>
      </w:r>
    </w:p>
    <w:p w14:paraId="027C91D3" w14:textId="6AB60540" w:rsidR="000E011E" w:rsidRPr="003A44E4" w:rsidRDefault="003A44E4" w:rsidP="000E011E">
      <w:pPr>
        <w:rPr>
          <w:rFonts w:ascii="Century Gothic" w:hAnsi="Century Gothic"/>
          <w:b/>
          <w:bCs/>
          <w:color w:val="002060"/>
        </w:rPr>
      </w:pPr>
      <w:r>
        <w:rPr>
          <w:rFonts w:ascii="Century Gothic" w:hAnsi="Century Gothic"/>
          <w:b/>
          <w:bCs/>
          <w:color w:val="002060"/>
        </w:rPr>
        <w:t xml:space="preserve">- </w:t>
      </w:r>
      <w:r w:rsidR="000E011E" w:rsidRPr="003A44E4">
        <w:rPr>
          <w:rFonts w:ascii="Century Gothic" w:hAnsi="Century Gothic"/>
          <w:b/>
          <w:bCs/>
          <w:color w:val="002060"/>
        </w:rPr>
        <w:t>Seringas</w:t>
      </w:r>
    </w:p>
    <w:p w14:paraId="27FBC91F" w14:textId="77777777" w:rsidR="000E011E" w:rsidRPr="003A44E4" w:rsidRDefault="000E011E" w:rsidP="003A44E4">
      <w:pPr>
        <w:pStyle w:val="PargrafodaLista"/>
        <w:numPr>
          <w:ilvl w:val="0"/>
          <w:numId w:val="3"/>
        </w:numPr>
        <w:autoSpaceDE w:val="0"/>
        <w:autoSpaceDN w:val="0"/>
        <w:rPr>
          <w:rFonts w:ascii="Century Gothic" w:hAnsi="Century Gothic"/>
          <w:color w:val="002060"/>
          <w:u w:val="single"/>
        </w:rPr>
      </w:pPr>
      <w:r w:rsidRPr="003A44E4">
        <w:rPr>
          <w:rFonts w:ascii="Century Gothic" w:hAnsi="Century Gothic"/>
          <w:color w:val="002060"/>
          <w:u w:val="single"/>
        </w:rPr>
        <w:t>PORTARIA INMETRO Nº 458, DE 17 DE NOVEMBRO DE 2021</w:t>
      </w:r>
    </w:p>
    <w:p w14:paraId="015F75DE" w14:textId="254BB03D" w:rsidR="000E011E" w:rsidRPr="003A44E4" w:rsidRDefault="000E011E" w:rsidP="000E011E">
      <w:pPr>
        <w:autoSpaceDE w:val="0"/>
        <w:autoSpaceDN w:val="0"/>
        <w:rPr>
          <w:rFonts w:ascii="Century Gothic" w:hAnsi="Century Gothic"/>
          <w:color w:val="002060"/>
        </w:rPr>
      </w:pPr>
      <w:r w:rsidRPr="003A44E4">
        <w:rPr>
          <w:rFonts w:ascii="Century Gothic" w:hAnsi="Century Gothic"/>
          <w:color w:val="002060"/>
        </w:rPr>
        <w:t>Aprova os Requisitos de Avaliação da Conformidade para Seringas</w:t>
      </w:r>
      <w:r w:rsidR="00E271EA">
        <w:rPr>
          <w:rFonts w:ascii="Century Gothic" w:hAnsi="Century Gothic"/>
          <w:color w:val="002060"/>
        </w:rPr>
        <w:t xml:space="preserve"> </w:t>
      </w:r>
      <w:r w:rsidRPr="003A44E4">
        <w:rPr>
          <w:rFonts w:ascii="Century Gothic" w:hAnsi="Century Gothic"/>
          <w:color w:val="002060"/>
        </w:rPr>
        <w:t>Hipodérmicas Estéreis de Uso Único - Consolidado.</w:t>
      </w:r>
    </w:p>
    <w:p w14:paraId="277DE011" w14:textId="77777777" w:rsidR="000E011E" w:rsidRPr="003A44E4" w:rsidRDefault="000E011E" w:rsidP="003A44E4">
      <w:pPr>
        <w:pStyle w:val="Default"/>
        <w:numPr>
          <w:ilvl w:val="0"/>
          <w:numId w:val="3"/>
        </w:numPr>
        <w:rPr>
          <w:rFonts w:ascii="Century Gothic" w:hAnsi="Century Gothic"/>
          <w:color w:val="002060"/>
          <w:sz w:val="22"/>
          <w:szCs w:val="22"/>
          <w:u w:val="single"/>
        </w:rPr>
      </w:pPr>
      <w:r w:rsidRPr="003A44E4">
        <w:rPr>
          <w:rFonts w:ascii="Century Gothic" w:hAnsi="Century Gothic"/>
          <w:color w:val="002060"/>
          <w:sz w:val="22"/>
          <w:szCs w:val="22"/>
          <w:u w:val="single"/>
        </w:rPr>
        <w:t xml:space="preserve">RDC Nº 541, DE 30 DE AGOSTO DE 2021 </w:t>
      </w:r>
    </w:p>
    <w:p w14:paraId="2309A50C" w14:textId="77777777" w:rsidR="000E011E" w:rsidRPr="003A44E4" w:rsidRDefault="000E011E" w:rsidP="000E011E">
      <w:pPr>
        <w:rPr>
          <w:rFonts w:ascii="Century Gothic" w:hAnsi="Century Gothic"/>
          <w:color w:val="002060"/>
        </w:rPr>
      </w:pPr>
      <w:r w:rsidRPr="003A44E4">
        <w:rPr>
          <w:rFonts w:ascii="Century Gothic" w:hAnsi="Century Gothic"/>
          <w:color w:val="002060"/>
        </w:rPr>
        <w:t>Estabelece os requisitos mínimos de identidade e qualidade para seringas hipodérmicas estéreis de uso único.</w:t>
      </w:r>
    </w:p>
    <w:p w14:paraId="5FDAF449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As seringas são indicadas para uso único?</w:t>
      </w:r>
    </w:p>
    <w:p w14:paraId="73DC0225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Sim. As seringas são descartáveis e de uso único (não se deve utilizar a seringa, mesmo que seja o mesmo medicamento).</w:t>
      </w:r>
    </w:p>
    <w:p w14:paraId="14B5DCF3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Após o uso da seringa, o silicone de grau médico presente no êmbolo do descartável, poderá sofrer alterações, prejudicando uma segunda infusão com a mesma seringa, ocasionando em alguns casos o alarme de oclusão, ou até mesmo a alteração na precisão do equipamento.</w:t>
      </w:r>
    </w:p>
    <w:p w14:paraId="1FEA1884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As seringas possuem marcação INMETRO?</w:t>
      </w:r>
    </w:p>
    <w:p w14:paraId="15F82EDF" w14:textId="5838D9BC" w:rsidR="003F62BD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Todas as seringas da Samtronic são certificadas junto ao INMETRO</w:t>
      </w:r>
      <w:r w:rsidR="0080745D">
        <w:rPr>
          <w:rFonts w:ascii="Century Gothic" w:hAnsi="Century Gothic"/>
          <w:color w:val="002060"/>
        </w:rPr>
        <w:t xml:space="preserve"> para uso em bomba de infusão</w:t>
      </w:r>
      <w:r w:rsidRPr="009E3D54">
        <w:rPr>
          <w:rFonts w:ascii="Century Gothic" w:hAnsi="Century Gothic"/>
          <w:color w:val="002060"/>
        </w:rPr>
        <w:t>.</w:t>
      </w:r>
    </w:p>
    <w:p w14:paraId="22BE67B3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Qual o princípio de esterilização dos descartáveis?</w:t>
      </w:r>
    </w:p>
    <w:p w14:paraId="0C760AAC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Os descartáveis são esterilizados através do Óxido de Etileno.</w:t>
      </w:r>
    </w:p>
    <w:p w14:paraId="27841DC3" w14:textId="5B9F75A0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 xml:space="preserve">A esterilização por óxido de etileno é capaz de esterilizar e eliminar os microrganismos viáveis dos produtos. A esterilização ocorre quando uma molécula de gás de óxido de etileno reage e destrói o DNA do microrganismo. O óxido de etileno é considerado o método de esterilização altamente eficaz, uma vez que age à baixa temperatura e </w:t>
      </w:r>
      <w:r w:rsidR="006A609C">
        <w:rPr>
          <w:rFonts w:ascii="Century Gothic" w:hAnsi="Century Gothic"/>
          <w:color w:val="002060"/>
        </w:rPr>
        <w:t>possui alto poder de penetração</w:t>
      </w:r>
      <w:r w:rsidRPr="009E3D54">
        <w:rPr>
          <w:rFonts w:ascii="Century Gothic" w:hAnsi="Century Gothic"/>
          <w:color w:val="002060"/>
        </w:rPr>
        <w:t>, além de sua compatibilidade geral com diversos materiais.</w:t>
      </w:r>
    </w:p>
    <w:p w14:paraId="66570C65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Quais são os volumes das seringas Samtronic?</w:t>
      </w:r>
    </w:p>
    <w:p w14:paraId="33434D64" w14:textId="7C4B031A" w:rsidR="003F62BD" w:rsidRPr="007A221E" w:rsidRDefault="003F62BD" w:rsidP="0080745D">
      <w:pPr>
        <w:jc w:val="both"/>
        <w:rPr>
          <w:rFonts w:ascii="Century Gothic" w:hAnsi="Century Gothic"/>
          <w:color w:val="002060"/>
        </w:rPr>
      </w:pPr>
      <w:r w:rsidRPr="007A221E">
        <w:rPr>
          <w:rFonts w:ascii="Century Gothic" w:hAnsi="Century Gothic"/>
          <w:color w:val="002060"/>
        </w:rPr>
        <w:t xml:space="preserve">Cristal/ Enteral: </w:t>
      </w:r>
      <w:r w:rsidR="006A609C" w:rsidRPr="007A221E">
        <w:rPr>
          <w:rFonts w:ascii="Century Gothic" w:hAnsi="Century Gothic"/>
          <w:color w:val="002060"/>
        </w:rPr>
        <w:t>10, 20 e 60</w:t>
      </w:r>
      <w:r w:rsidRPr="007A221E">
        <w:rPr>
          <w:rFonts w:ascii="Century Gothic" w:hAnsi="Century Gothic"/>
          <w:color w:val="002060"/>
        </w:rPr>
        <w:t xml:space="preserve"> mL;</w:t>
      </w:r>
    </w:p>
    <w:p w14:paraId="37FCC581" w14:textId="7BF9FF9C" w:rsidR="003F62BD" w:rsidRPr="007A221E" w:rsidRDefault="003F62BD" w:rsidP="0080745D">
      <w:pPr>
        <w:jc w:val="both"/>
        <w:rPr>
          <w:rFonts w:ascii="Century Gothic" w:hAnsi="Century Gothic"/>
          <w:color w:val="002060"/>
        </w:rPr>
      </w:pPr>
      <w:r w:rsidRPr="007A221E">
        <w:rPr>
          <w:rFonts w:ascii="Century Gothic" w:hAnsi="Century Gothic"/>
          <w:color w:val="002060"/>
        </w:rPr>
        <w:t>Fotoprotetora: 20 e 60 mL.</w:t>
      </w:r>
    </w:p>
    <w:p w14:paraId="6585A093" w14:textId="4E1EF39C" w:rsidR="00301933" w:rsidRDefault="00301933" w:rsidP="0080745D">
      <w:pPr>
        <w:jc w:val="both"/>
        <w:rPr>
          <w:rFonts w:ascii="Century Gothic" w:hAnsi="Century Gothic"/>
          <w:color w:val="002060"/>
        </w:rPr>
      </w:pPr>
      <w:r w:rsidRPr="007A221E">
        <w:rPr>
          <w:rFonts w:ascii="Century Gothic" w:hAnsi="Century Gothic"/>
          <w:color w:val="002060"/>
        </w:rPr>
        <w:t>Enteral: 10/20 e 60</w:t>
      </w:r>
      <w:r w:rsidR="007A221E">
        <w:rPr>
          <w:rFonts w:ascii="Century Gothic" w:hAnsi="Century Gothic"/>
          <w:color w:val="002060"/>
        </w:rPr>
        <w:t xml:space="preserve"> </w:t>
      </w:r>
      <w:r w:rsidRPr="007A221E">
        <w:rPr>
          <w:rFonts w:ascii="Century Gothic" w:hAnsi="Century Gothic"/>
          <w:color w:val="002060"/>
        </w:rPr>
        <w:t>m</w:t>
      </w:r>
      <w:r w:rsidR="007A221E">
        <w:rPr>
          <w:rFonts w:ascii="Century Gothic" w:hAnsi="Century Gothic"/>
          <w:color w:val="002060"/>
        </w:rPr>
        <w:t>L.</w:t>
      </w:r>
    </w:p>
    <w:p w14:paraId="4918756F" w14:textId="77777777" w:rsidR="003A44E4" w:rsidRPr="009E3D54" w:rsidRDefault="003A44E4" w:rsidP="0080745D">
      <w:pPr>
        <w:jc w:val="both"/>
        <w:rPr>
          <w:rFonts w:ascii="Century Gothic" w:hAnsi="Century Gothic"/>
          <w:color w:val="002060"/>
        </w:rPr>
      </w:pPr>
    </w:p>
    <w:p w14:paraId="46DF98BD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Quais volumes de seringas são atendidos pelas bombas de infusão?</w:t>
      </w:r>
    </w:p>
    <w:p w14:paraId="38E73734" w14:textId="77777777" w:rsidR="003F62BD" w:rsidRPr="009E3D54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Podem ser utilizadas seringas de 5 a 60 mL.</w:t>
      </w:r>
    </w:p>
    <w:p w14:paraId="6BB85F84" w14:textId="77777777" w:rsidR="003F62BD" w:rsidRPr="009E3D54" w:rsidRDefault="003F62BD" w:rsidP="0080745D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 w:rsidRPr="009E3D54">
        <w:rPr>
          <w:rFonts w:ascii="Century Gothic" w:hAnsi="Century Gothic"/>
          <w:b/>
          <w:bCs/>
          <w:color w:val="002060"/>
        </w:rPr>
        <w:t>Como realizar a troca da seringa sem parar a infusão? (TCI)</w:t>
      </w:r>
    </w:p>
    <w:p w14:paraId="77211715" w14:textId="77777777" w:rsidR="005B0523" w:rsidRPr="005B0523" w:rsidRDefault="005B0523" w:rsidP="005B0523">
      <w:pPr>
        <w:jc w:val="both"/>
        <w:rPr>
          <w:rFonts w:ascii="Century Gothic" w:hAnsi="Century Gothic"/>
          <w:color w:val="002060"/>
        </w:rPr>
      </w:pPr>
      <w:r w:rsidRPr="005B0523">
        <w:rPr>
          <w:rFonts w:ascii="Century Gothic" w:hAnsi="Century Gothic"/>
          <w:color w:val="002060"/>
        </w:rPr>
        <w:t>Há duas possibilidades de realizar a troca a seringa, porém é recomendado sempre utilizar a tecla Parada/Partida.</w:t>
      </w:r>
    </w:p>
    <w:p w14:paraId="3B1C92B2" w14:textId="732DA3D9" w:rsidR="00DF6D6D" w:rsidRDefault="00DF6D6D" w:rsidP="005B0523">
      <w:pPr>
        <w:jc w:val="both"/>
        <w:rPr>
          <w:rFonts w:ascii="Century Gothic" w:hAnsi="Century Gothic"/>
          <w:color w:val="002060"/>
        </w:rPr>
      </w:pPr>
      <w:r>
        <w:rPr>
          <w:rFonts w:ascii="Century Gothic" w:hAnsi="Century Gothic"/>
          <w:color w:val="002060"/>
        </w:rPr>
        <w:t xml:space="preserve">- </w:t>
      </w:r>
      <w:r w:rsidR="005B0523" w:rsidRPr="005B0523">
        <w:rPr>
          <w:rFonts w:ascii="Century Gothic" w:hAnsi="Century Gothic"/>
          <w:color w:val="002060"/>
        </w:rPr>
        <w:t>Pressionar a tecla Parada/Partida interrompendo a infusão e assim realizar o procedimento</w:t>
      </w:r>
      <w:r>
        <w:rPr>
          <w:rFonts w:ascii="Century Gothic" w:hAnsi="Century Gothic"/>
          <w:color w:val="002060"/>
        </w:rPr>
        <w:t xml:space="preserve"> </w:t>
      </w:r>
      <w:r w:rsidR="005B0523" w:rsidRPr="005B0523">
        <w:rPr>
          <w:rFonts w:ascii="Century Gothic" w:hAnsi="Century Gothic"/>
          <w:color w:val="002060"/>
        </w:rPr>
        <w:t>de</w:t>
      </w:r>
      <w:r>
        <w:rPr>
          <w:rFonts w:ascii="Century Gothic" w:hAnsi="Century Gothic"/>
          <w:color w:val="002060"/>
        </w:rPr>
        <w:t xml:space="preserve"> </w:t>
      </w:r>
      <w:r w:rsidR="005B0523" w:rsidRPr="005B0523">
        <w:rPr>
          <w:rFonts w:ascii="Century Gothic" w:hAnsi="Century Gothic"/>
          <w:color w:val="002060"/>
        </w:rPr>
        <w:t>troca</w:t>
      </w:r>
      <w:r>
        <w:rPr>
          <w:rFonts w:ascii="Century Gothic" w:hAnsi="Century Gothic"/>
          <w:color w:val="002060"/>
        </w:rPr>
        <w:t xml:space="preserve"> </w:t>
      </w:r>
      <w:r w:rsidR="005B0523" w:rsidRPr="005B0523">
        <w:rPr>
          <w:rFonts w:ascii="Century Gothic" w:hAnsi="Century Gothic"/>
          <w:color w:val="002060"/>
        </w:rPr>
        <w:t>da</w:t>
      </w:r>
      <w:r>
        <w:rPr>
          <w:rFonts w:ascii="Century Gothic" w:hAnsi="Century Gothic"/>
          <w:color w:val="002060"/>
        </w:rPr>
        <w:t xml:space="preserve"> </w:t>
      </w:r>
      <w:r w:rsidR="005B0523" w:rsidRPr="005B0523">
        <w:rPr>
          <w:rFonts w:ascii="Century Gothic" w:hAnsi="Century Gothic"/>
          <w:color w:val="002060"/>
        </w:rPr>
        <w:t>seringa;</w:t>
      </w:r>
    </w:p>
    <w:p w14:paraId="4B7F815B" w14:textId="543CC9F5" w:rsidR="005B0523" w:rsidRPr="005B0523" w:rsidRDefault="005B0523" w:rsidP="005B0523">
      <w:pPr>
        <w:jc w:val="both"/>
        <w:rPr>
          <w:rFonts w:ascii="Century Gothic" w:hAnsi="Century Gothic"/>
          <w:color w:val="002060"/>
        </w:rPr>
      </w:pPr>
      <w:r w:rsidRPr="005B0523">
        <w:rPr>
          <w:rFonts w:ascii="Century Gothic" w:hAnsi="Century Gothic"/>
          <w:color w:val="002060"/>
        </w:rPr>
        <w:t xml:space="preserve">- </w:t>
      </w:r>
      <w:r>
        <w:rPr>
          <w:rFonts w:ascii="Century Gothic" w:hAnsi="Century Gothic"/>
          <w:color w:val="002060"/>
        </w:rPr>
        <w:t>Nos modelos TCI, l</w:t>
      </w:r>
      <w:r w:rsidRPr="005B0523">
        <w:rPr>
          <w:rFonts w:ascii="Century Gothic" w:hAnsi="Century Gothic"/>
          <w:color w:val="002060"/>
        </w:rPr>
        <w:t>evantar o sujeitador até a posição de troca e girar um quarto de volta fazendo com que a infusão seja interrompida e realizar a troca da seringa.</w:t>
      </w:r>
    </w:p>
    <w:p w14:paraId="1B354DDB" w14:textId="0C1EC017" w:rsidR="003F62BD" w:rsidRDefault="003F62BD" w:rsidP="0080745D">
      <w:pPr>
        <w:jc w:val="both"/>
        <w:rPr>
          <w:rFonts w:ascii="Century Gothic" w:hAnsi="Century Gothic"/>
          <w:color w:val="002060"/>
        </w:rPr>
      </w:pPr>
      <w:r w:rsidRPr="009E3D54">
        <w:rPr>
          <w:rFonts w:ascii="Century Gothic" w:hAnsi="Century Gothic"/>
          <w:color w:val="002060"/>
        </w:rPr>
        <w:t>A opção de troca de seringa durante a infusão foi implementada com o propósito de permitir ao operador realizar a troca devido ao término do volume disponível</w:t>
      </w:r>
      <w:r w:rsidR="00DF6D6D">
        <w:rPr>
          <w:rFonts w:ascii="Century Gothic" w:hAnsi="Century Gothic"/>
          <w:color w:val="002060"/>
        </w:rPr>
        <w:t xml:space="preserve"> </w:t>
      </w:r>
      <w:r w:rsidRPr="009E3D54">
        <w:rPr>
          <w:rFonts w:ascii="Century Gothic" w:hAnsi="Century Gothic"/>
          <w:color w:val="002060"/>
        </w:rPr>
        <w:t>ou</w:t>
      </w:r>
      <w:r w:rsidR="00DF6D6D">
        <w:rPr>
          <w:rFonts w:ascii="Century Gothic" w:hAnsi="Century Gothic"/>
          <w:color w:val="002060"/>
        </w:rPr>
        <w:t xml:space="preserve"> </w:t>
      </w:r>
      <w:r w:rsidRPr="009E3D54">
        <w:rPr>
          <w:rFonts w:ascii="Century Gothic" w:hAnsi="Century Gothic"/>
          <w:color w:val="002060"/>
        </w:rPr>
        <w:t>mudança na concentração do fármaco, sem precisar cancelar a infusão. Após, o</w:t>
      </w:r>
      <w:r w:rsidR="0080745D">
        <w:rPr>
          <w:rFonts w:ascii="Century Gothic" w:hAnsi="Century Gothic"/>
          <w:color w:val="002060"/>
        </w:rPr>
        <w:t xml:space="preserve"> </w:t>
      </w:r>
      <w:r w:rsidRPr="009E3D54">
        <w:rPr>
          <w:rFonts w:ascii="Century Gothic" w:hAnsi="Century Gothic"/>
          <w:color w:val="002060"/>
        </w:rPr>
        <w:t>sistema irá solicitar confirmação e/ou informação dos parâmetros</w:t>
      </w:r>
      <w:r w:rsidR="00DF6D6D">
        <w:rPr>
          <w:rFonts w:ascii="Century Gothic" w:hAnsi="Century Gothic"/>
          <w:color w:val="002060"/>
        </w:rPr>
        <w:t xml:space="preserve"> </w:t>
      </w:r>
      <w:r w:rsidRPr="009E3D54">
        <w:rPr>
          <w:rFonts w:ascii="Century Gothic" w:hAnsi="Century Gothic"/>
          <w:color w:val="002060"/>
        </w:rPr>
        <w:t>da</w:t>
      </w:r>
      <w:r w:rsidR="00DF6D6D">
        <w:rPr>
          <w:rFonts w:ascii="Century Gothic" w:hAnsi="Century Gothic"/>
          <w:color w:val="002060"/>
        </w:rPr>
        <w:t xml:space="preserve"> </w:t>
      </w:r>
      <w:r w:rsidRPr="009E3D54">
        <w:rPr>
          <w:rFonts w:ascii="Century Gothic" w:hAnsi="Century Gothic"/>
          <w:color w:val="002060"/>
        </w:rPr>
        <w:t>troca</w:t>
      </w:r>
      <w:r w:rsidR="00DF6D6D">
        <w:rPr>
          <w:rFonts w:ascii="Century Gothic" w:hAnsi="Century Gothic"/>
          <w:color w:val="002060"/>
        </w:rPr>
        <w:t xml:space="preserve"> </w:t>
      </w:r>
      <w:r w:rsidRPr="009E3D54">
        <w:rPr>
          <w:rFonts w:ascii="Century Gothic" w:hAnsi="Century Gothic"/>
          <w:color w:val="002060"/>
        </w:rPr>
        <w:t>quanto</w:t>
      </w:r>
      <w:r w:rsidR="00DF6D6D">
        <w:rPr>
          <w:rFonts w:ascii="Century Gothic" w:hAnsi="Century Gothic"/>
          <w:color w:val="002060"/>
        </w:rPr>
        <w:t xml:space="preserve"> </w:t>
      </w:r>
      <w:r w:rsidRPr="009E3D54">
        <w:rPr>
          <w:rFonts w:ascii="Century Gothic" w:hAnsi="Century Gothic"/>
          <w:color w:val="002060"/>
        </w:rPr>
        <w:t>ao volume da seringa e concentração do medicamento.</w:t>
      </w:r>
    </w:p>
    <w:p w14:paraId="23533688" w14:textId="4EF92F73" w:rsidR="00301933" w:rsidRPr="00722E24" w:rsidRDefault="00D46EFE" w:rsidP="00722E24">
      <w:pPr>
        <w:pStyle w:val="PargrafodaLista"/>
        <w:numPr>
          <w:ilvl w:val="0"/>
          <w:numId w:val="1"/>
        </w:numPr>
        <w:jc w:val="both"/>
        <w:rPr>
          <w:rFonts w:ascii="Century Gothic" w:hAnsi="Century Gothic"/>
          <w:b/>
          <w:bCs/>
          <w:color w:val="002060"/>
        </w:rPr>
      </w:pPr>
      <w:r>
        <w:rPr>
          <w:rFonts w:ascii="Century Gothic" w:hAnsi="Century Gothic"/>
          <w:b/>
          <w:bCs/>
          <w:color w:val="002060"/>
        </w:rPr>
        <w:t>Qual indicação dos</w:t>
      </w:r>
      <w:r w:rsidR="00722E24" w:rsidRPr="00722E24">
        <w:rPr>
          <w:rFonts w:ascii="Century Gothic" w:hAnsi="Century Gothic"/>
          <w:b/>
          <w:bCs/>
          <w:color w:val="002060"/>
        </w:rPr>
        <w:t xml:space="preserve"> equipos de sangue e qual é a </w:t>
      </w:r>
      <w:proofErr w:type="spellStart"/>
      <w:r w:rsidR="00722E24" w:rsidRPr="00722E24">
        <w:rPr>
          <w:rFonts w:ascii="Century Gothic" w:hAnsi="Century Gothic"/>
          <w:b/>
          <w:bCs/>
          <w:color w:val="002060"/>
        </w:rPr>
        <w:t>micragem</w:t>
      </w:r>
      <w:proofErr w:type="spellEnd"/>
      <w:r w:rsidR="00722E24" w:rsidRPr="00722E24">
        <w:rPr>
          <w:rFonts w:ascii="Century Gothic" w:hAnsi="Century Gothic"/>
          <w:b/>
          <w:bCs/>
          <w:color w:val="002060"/>
        </w:rPr>
        <w:t xml:space="preserve"> do filtro?</w:t>
      </w:r>
    </w:p>
    <w:p w14:paraId="6CF9B96D" w14:textId="25872554" w:rsidR="00722E24" w:rsidRDefault="00722E24" w:rsidP="00722E24">
      <w:pPr>
        <w:jc w:val="both"/>
        <w:rPr>
          <w:rFonts w:ascii="Century Gothic" w:hAnsi="Century Gothic"/>
          <w:color w:val="002060"/>
        </w:rPr>
      </w:pPr>
      <w:r>
        <w:rPr>
          <w:rFonts w:ascii="Century Gothic" w:hAnsi="Century Gothic"/>
          <w:color w:val="002060"/>
        </w:rPr>
        <w:t xml:space="preserve">Os equipos de sangue da Samtronic são desenvolvidos especificamente para transfusão sanguínea e administração de hemocomponentes/hemoderivados. </w:t>
      </w:r>
    </w:p>
    <w:p w14:paraId="0F8552D7" w14:textId="4F0AE2DC" w:rsidR="00722E24" w:rsidRDefault="00722E24" w:rsidP="00722E24">
      <w:pPr>
        <w:jc w:val="both"/>
        <w:rPr>
          <w:rFonts w:ascii="Century Gothic" w:hAnsi="Century Gothic"/>
          <w:color w:val="002060"/>
        </w:rPr>
      </w:pPr>
      <w:r>
        <w:rPr>
          <w:rFonts w:ascii="Century Gothic" w:hAnsi="Century Gothic"/>
          <w:color w:val="002060"/>
        </w:rPr>
        <w:t>Eles possuem filtro de 200 µm (micrômetros), responsável por reter coágulos e partículas que possam estar presentes no sangue, garantindo maior segurança ao paciente durante o procedimento.</w:t>
      </w:r>
    </w:p>
    <w:p w14:paraId="41FD3475" w14:textId="725DD01E" w:rsidR="00722E24" w:rsidRPr="00722E24" w:rsidRDefault="00722E24" w:rsidP="00722E24">
      <w:pPr>
        <w:jc w:val="both"/>
        <w:rPr>
          <w:rFonts w:ascii="Century Gothic" w:hAnsi="Century Gothic"/>
          <w:color w:val="002060"/>
        </w:rPr>
      </w:pPr>
      <w:r>
        <w:rPr>
          <w:rFonts w:ascii="Century Gothic" w:hAnsi="Century Gothic"/>
          <w:color w:val="002060"/>
        </w:rPr>
        <w:t>A finalidade do equipo de sangue é assegurar a infusão adequada e segura dos hemoderivados, reduzindo riscos de complicações associadas a partículas indesejadas.</w:t>
      </w:r>
    </w:p>
    <w:p w14:paraId="589FC8C2" w14:textId="77777777" w:rsidR="00301933" w:rsidRPr="009E3D54" w:rsidRDefault="00301933" w:rsidP="0080745D">
      <w:pPr>
        <w:jc w:val="both"/>
        <w:rPr>
          <w:rFonts w:ascii="Century Gothic" w:hAnsi="Century Gothic"/>
          <w:color w:val="002060"/>
        </w:rPr>
      </w:pPr>
    </w:p>
    <w:p w14:paraId="29B64DA6" w14:textId="77777777" w:rsidR="00D766A7" w:rsidRDefault="00D766A7" w:rsidP="0080745D">
      <w:pPr>
        <w:jc w:val="both"/>
      </w:pPr>
    </w:p>
    <w:sectPr w:rsidR="00D766A7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61AFA" w14:textId="77777777" w:rsidR="004206C6" w:rsidRDefault="004206C6" w:rsidP="003C7D42">
      <w:pPr>
        <w:spacing w:after="0" w:line="240" w:lineRule="auto"/>
      </w:pPr>
      <w:r>
        <w:separator/>
      </w:r>
    </w:p>
  </w:endnote>
  <w:endnote w:type="continuationSeparator" w:id="0">
    <w:p w14:paraId="32A26E84" w14:textId="77777777" w:rsidR="004206C6" w:rsidRDefault="004206C6" w:rsidP="003C7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BABC1" w14:textId="04F39B51" w:rsidR="003C7D42" w:rsidRDefault="003C7D42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09A3783" wp14:editId="19C420E9">
          <wp:simplePos x="0" y="0"/>
          <wp:positionH relativeFrom="page">
            <wp:posOffset>16510</wp:posOffset>
          </wp:positionH>
          <wp:positionV relativeFrom="paragraph">
            <wp:posOffset>-28575</wp:posOffset>
          </wp:positionV>
          <wp:extent cx="7524750" cy="630555"/>
          <wp:effectExtent l="0" t="0" r="0" b="0"/>
          <wp:wrapNone/>
          <wp:docPr id="105626497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63221" name="Imagem 216322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4077"/>
                  <a:stretch/>
                </pic:blipFill>
                <pic:spPr bwMode="auto">
                  <a:xfrm>
                    <a:off x="0" y="0"/>
                    <a:ext cx="7524750" cy="6305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914075" w14:textId="77777777" w:rsidR="004206C6" w:rsidRDefault="004206C6" w:rsidP="003C7D42">
      <w:pPr>
        <w:spacing w:after="0" w:line="240" w:lineRule="auto"/>
      </w:pPr>
      <w:r>
        <w:separator/>
      </w:r>
    </w:p>
  </w:footnote>
  <w:footnote w:type="continuationSeparator" w:id="0">
    <w:p w14:paraId="574B0113" w14:textId="77777777" w:rsidR="004206C6" w:rsidRDefault="004206C6" w:rsidP="003C7D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EEB8A" w14:textId="7748C7B9" w:rsidR="003C7D42" w:rsidRDefault="003C7D42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E22FD11" wp14:editId="4C8DA9C3">
          <wp:simplePos x="0" y="0"/>
          <wp:positionH relativeFrom="page">
            <wp:posOffset>16510</wp:posOffset>
          </wp:positionH>
          <wp:positionV relativeFrom="topMargin">
            <wp:posOffset>20320</wp:posOffset>
          </wp:positionV>
          <wp:extent cx="7515225" cy="876300"/>
          <wp:effectExtent l="0" t="0" r="9525" b="0"/>
          <wp:wrapNone/>
          <wp:docPr id="20888290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2183291" name="Imagem 169218329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r="165" b="91776"/>
                  <a:stretch/>
                </pic:blipFill>
                <pic:spPr bwMode="auto">
                  <a:xfrm>
                    <a:off x="0" y="0"/>
                    <a:ext cx="7515225" cy="876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D5894"/>
    <w:multiLevelType w:val="hybridMultilevel"/>
    <w:tmpl w:val="0C94F7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CA1CA3"/>
    <w:multiLevelType w:val="hybridMultilevel"/>
    <w:tmpl w:val="C5422CF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231C2D"/>
    <w:multiLevelType w:val="hybridMultilevel"/>
    <w:tmpl w:val="65E4386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3391587">
    <w:abstractNumId w:val="0"/>
  </w:num>
  <w:num w:numId="2" w16cid:durableId="469135847">
    <w:abstractNumId w:val="2"/>
  </w:num>
  <w:num w:numId="3" w16cid:durableId="9057998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2BD"/>
    <w:rsid w:val="00064F50"/>
    <w:rsid w:val="000C48F5"/>
    <w:rsid w:val="000E011E"/>
    <w:rsid w:val="002608F1"/>
    <w:rsid w:val="00301933"/>
    <w:rsid w:val="00310240"/>
    <w:rsid w:val="003A44E4"/>
    <w:rsid w:val="003C7D42"/>
    <w:rsid w:val="003F62BD"/>
    <w:rsid w:val="004206C6"/>
    <w:rsid w:val="00446029"/>
    <w:rsid w:val="00490BF8"/>
    <w:rsid w:val="005B0523"/>
    <w:rsid w:val="006A609C"/>
    <w:rsid w:val="00722E24"/>
    <w:rsid w:val="007A221E"/>
    <w:rsid w:val="007B1755"/>
    <w:rsid w:val="007B2353"/>
    <w:rsid w:val="0080745D"/>
    <w:rsid w:val="00956145"/>
    <w:rsid w:val="009D7974"/>
    <w:rsid w:val="00B9479B"/>
    <w:rsid w:val="00CC7B3A"/>
    <w:rsid w:val="00D46EFE"/>
    <w:rsid w:val="00D766A7"/>
    <w:rsid w:val="00DC02E9"/>
    <w:rsid w:val="00DF6D6D"/>
    <w:rsid w:val="00E271EA"/>
    <w:rsid w:val="00E56EBF"/>
    <w:rsid w:val="00EC7BCC"/>
    <w:rsid w:val="00EE5305"/>
    <w:rsid w:val="00F04DF6"/>
    <w:rsid w:val="00F56018"/>
    <w:rsid w:val="00FB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13995"/>
  <w15:docId w15:val="{33722888-3F60-4614-A5E2-A6AF23EB2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2BD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3F62BD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3F62B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grafodaLista">
    <w:name w:val="List Paragraph"/>
    <w:basedOn w:val="Normal"/>
    <w:uiPriority w:val="34"/>
    <w:qFormat/>
    <w:rsid w:val="003F62BD"/>
    <w:pPr>
      <w:ind w:left="720"/>
      <w:contextualSpacing/>
    </w:pPr>
  </w:style>
  <w:style w:type="table" w:styleId="Tabelacomgrade">
    <w:name w:val="Table Grid"/>
    <w:basedOn w:val="Tabelanormal"/>
    <w:uiPriority w:val="39"/>
    <w:rsid w:val="00260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Normal"/>
    <w:rsid w:val="000E011E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3C7D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D42"/>
  </w:style>
  <w:style w:type="paragraph" w:styleId="Rodap">
    <w:name w:val="footer"/>
    <w:basedOn w:val="Normal"/>
    <w:link w:val="RodapChar"/>
    <w:uiPriority w:val="99"/>
    <w:unhideWhenUsed/>
    <w:rsid w:val="003C7D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4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B16D9-9790-4DB9-A9AE-2DDD7F894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1270</Words>
  <Characters>6858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RODRIGUES</dc:creator>
  <cp:keywords/>
  <dc:description/>
  <cp:lastModifiedBy>Cleiton FREITAS</cp:lastModifiedBy>
  <cp:revision>3</cp:revision>
  <dcterms:created xsi:type="dcterms:W3CDTF">2025-09-18T13:06:00Z</dcterms:created>
  <dcterms:modified xsi:type="dcterms:W3CDTF">2025-09-25T13:49:00Z</dcterms:modified>
</cp:coreProperties>
</file>